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6C09A6" w14:textId="18A9EF9F" w:rsidR="000B7B6F" w:rsidRDefault="002E309F" w:rsidP="00F46D97">
      <w:pPr>
        <w:spacing w:after="0"/>
        <w:jc w:val="center"/>
        <w:rPr>
          <w:b/>
          <w:bCs/>
          <w:sz w:val="28"/>
          <w:szCs w:val="28"/>
        </w:rPr>
      </w:pPr>
      <w:r>
        <w:rPr>
          <w:b/>
          <w:bCs/>
          <w:sz w:val="28"/>
          <w:szCs w:val="28"/>
        </w:rPr>
        <w:t>Wh</w:t>
      </w:r>
      <w:r w:rsidR="000B7B6F">
        <w:rPr>
          <w:b/>
          <w:bCs/>
          <w:sz w:val="28"/>
          <w:szCs w:val="28"/>
        </w:rPr>
        <w:t>ite House</w:t>
      </w:r>
      <w:r w:rsidR="000B7B6F" w:rsidRPr="00381374">
        <w:rPr>
          <w:b/>
          <w:bCs/>
          <w:sz w:val="28"/>
          <w:szCs w:val="28"/>
        </w:rPr>
        <w:t xml:space="preserve"> Toolkit</w:t>
      </w:r>
      <w:r w:rsidR="000B7B6F">
        <w:rPr>
          <w:b/>
          <w:bCs/>
          <w:sz w:val="28"/>
          <w:szCs w:val="28"/>
        </w:rPr>
        <w:t xml:space="preserve">: </w:t>
      </w:r>
      <w:r w:rsidR="00F46D97" w:rsidRPr="00163BAF">
        <w:br/>
      </w:r>
      <w:r w:rsidR="000B7B6F">
        <w:rPr>
          <w:b/>
          <w:bCs/>
          <w:sz w:val="28"/>
          <w:szCs w:val="28"/>
        </w:rPr>
        <w:t xml:space="preserve">How State and Local Leaders Can </w:t>
      </w:r>
      <w:r>
        <w:rPr>
          <w:b/>
          <w:bCs/>
          <w:sz w:val="28"/>
          <w:szCs w:val="28"/>
        </w:rPr>
        <w:t xml:space="preserve">Use American Rescue Plan </w:t>
      </w:r>
      <w:r w:rsidR="000C1C11">
        <w:rPr>
          <w:b/>
          <w:bCs/>
          <w:sz w:val="28"/>
          <w:szCs w:val="28"/>
        </w:rPr>
        <w:t>State and Local</w:t>
      </w:r>
      <w:r w:rsidR="00AA3AFE">
        <w:rPr>
          <w:b/>
          <w:bCs/>
          <w:sz w:val="28"/>
          <w:szCs w:val="28"/>
        </w:rPr>
        <w:t xml:space="preserve"> Fiscal Recovery</w:t>
      </w:r>
      <w:r w:rsidR="000C1C11">
        <w:rPr>
          <w:b/>
          <w:bCs/>
          <w:sz w:val="28"/>
          <w:szCs w:val="28"/>
        </w:rPr>
        <w:t xml:space="preserve"> </w:t>
      </w:r>
      <w:r>
        <w:rPr>
          <w:b/>
          <w:bCs/>
          <w:sz w:val="28"/>
          <w:szCs w:val="28"/>
        </w:rPr>
        <w:t xml:space="preserve">Funds </w:t>
      </w:r>
      <w:r w:rsidR="00F46D97">
        <w:rPr>
          <w:b/>
          <w:bCs/>
          <w:sz w:val="28"/>
          <w:szCs w:val="28"/>
        </w:rPr>
        <w:t xml:space="preserve">to Address </w:t>
      </w:r>
      <w:r w:rsidR="000C1C11">
        <w:rPr>
          <w:b/>
          <w:bCs/>
          <w:sz w:val="28"/>
          <w:szCs w:val="28"/>
        </w:rPr>
        <w:t>Students’</w:t>
      </w:r>
      <w:r w:rsidR="00BC2D49">
        <w:rPr>
          <w:b/>
          <w:bCs/>
          <w:sz w:val="28"/>
          <w:szCs w:val="28"/>
        </w:rPr>
        <w:t xml:space="preserve"> </w:t>
      </w:r>
      <w:r w:rsidR="00F46D97">
        <w:rPr>
          <w:b/>
          <w:bCs/>
          <w:sz w:val="28"/>
          <w:szCs w:val="28"/>
        </w:rPr>
        <w:t>Academic and Mental Health Needs</w:t>
      </w:r>
      <w:r w:rsidR="00BC2D49">
        <w:rPr>
          <w:b/>
          <w:bCs/>
          <w:sz w:val="28"/>
          <w:szCs w:val="28"/>
        </w:rPr>
        <w:t xml:space="preserve"> </w:t>
      </w:r>
    </w:p>
    <w:p w14:paraId="0FBAE1C6" w14:textId="77777777" w:rsidR="000B7B6F" w:rsidRDefault="000B7B6F" w:rsidP="00F46D97">
      <w:pPr>
        <w:spacing w:after="0"/>
      </w:pPr>
    </w:p>
    <w:p w14:paraId="0F7432D0" w14:textId="77777777" w:rsidR="002E309F" w:rsidRPr="001129D6" w:rsidRDefault="002E309F" w:rsidP="00F46D97">
      <w:pPr>
        <w:pStyle w:val="Heading1"/>
        <w:rPr>
          <w:rStyle w:val="normaltextrun"/>
          <w:b/>
        </w:rPr>
      </w:pPr>
      <w:bookmarkStart w:id="0" w:name="_Toc99033561"/>
      <w:r w:rsidRPr="001129D6">
        <w:rPr>
          <w:rStyle w:val="normaltextrun"/>
          <w:b/>
        </w:rPr>
        <w:t>Introduction</w:t>
      </w:r>
      <w:bookmarkEnd w:id="0"/>
    </w:p>
    <w:p w14:paraId="77CE0CC8" w14:textId="77777777" w:rsidR="00F46D97" w:rsidRPr="008D7E03" w:rsidRDefault="00F46D97" w:rsidP="00F46D97">
      <w:pPr>
        <w:spacing w:after="0"/>
      </w:pPr>
    </w:p>
    <w:p w14:paraId="36CD4FD7" w14:textId="795A227E" w:rsidR="008D7E03" w:rsidRPr="008D7E03" w:rsidRDefault="00AA6097" w:rsidP="00F46D97">
      <w:pPr>
        <w:spacing w:after="0"/>
      </w:pPr>
      <w:r>
        <w:t xml:space="preserve">During the COVID-19 pandemic, </w:t>
      </w:r>
      <w:r w:rsidR="00D67A0B">
        <w:t>many</w:t>
      </w:r>
      <w:r>
        <w:t xml:space="preserve"> </w:t>
      </w:r>
      <w:r w:rsidR="00E72CEF">
        <w:t>children</w:t>
      </w:r>
      <w:r w:rsidR="004965B8">
        <w:t xml:space="preserve"> </w:t>
      </w:r>
      <w:r>
        <w:t xml:space="preserve">across the country experienced </w:t>
      </w:r>
      <w:r w:rsidR="00545A05">
        <w:t xml:space="preserve">unprecedented </w:t>
      </w:r>
      <w:r w:rsidR="38F0DD20">
        <w:t xml:space="preserve">learning </w:t>
      </w:r>
      <w:r>
        <w:t xml:space="preserve">disruptions and social isolation that harmed their mental health. </w:t>
      </w:r>
      <w:r w:rsidR="007C383E" w:rsidRPr="00EF510D">
        <w:rPr>
          <w:b/>
          <w:bCs/>
        </w:rPr>
        <w:t xml:space="preserve">To secure the future of our young people, </w:t>
      </w:r>
      <w:r w:rsidR="004F5A23" w:rsidRPr="00EF510D">
        <w:rPr>
          <w:b/>
          <w:bCs/>
        </w:rPr>
        <w:t>President</w:t>
      </w:r>
      <w:r w:rsidR="00903BA6" w:rsidRPr="00EF510D">
        <w:rPr>
          <w:b/>
          <w:bCs/>
        </w:rPr>
        <w:t xml:space="preserve"> Biden</w:t>
      </w:r>
      <w:r w:rsidR="004F5A23" w:rsidRPr="00EF510D">
        <w:rPr>
          <w:b/>
          <w:bCs/>
        </w:rPr>
        <w:t xml:space="preserve"> has called on the country</w:t>
      </w:r>
      <w:r w:rsidR="007C383E" w:rsidRPr="00EF510D">
        <w:rPr>
          <w:b/>
          <w:bCs/>
        </w:rPr>
        <w:t xml:space="preserve"> </w:t>
      </w:r>
      <w:r w:rsidR="004F5A23" w:rsidRPr="00EF510D">
        <w:rPr>
          <w:b/>
          <w:bCs/>
        </w:rPr>
        <w:t>to come together</w:t>
      </w:r>
      <w:r w:rsidR="007C383E" w:rsidRPr="00EF510D">
        <w:rPr>
          <w:b/>
          <w:bCs/>
        </w:rPr>
        <w:t xml:space="preserve"> to ensure </w:t>
      </w:r>
      <w:r w:rsidR="00E72CEF" w:rsidRPr="00EF510D">
        <w:rPr>
          <w:b/>
          <w:bCs/>
        </w:rPr>
        <w:t>children</w:t>
      </w:r>
      <w:r w:rsidR="004965B8" w:rsidRPr="00EF510D">
        <w:rPr>
          <w:b/>
          <w:bCs/>
        </w:rPr>
        <w:t xml:space="preserve"> </w:t>
      </w:r>
      <w:r w:rsidR="00D67A0B">
        <w:rPr>
          <w:b/>
          <w:bCs/>
        </w:rPr>
        <w:t>and youth</w:t>
      </w:r>
      <w:r w:rsidR="004965B8" w:rsidRPr="00EF510D">
        <w:rPr>
          <w:b/>
          <w:bCs/>
        </w:rPr>
        <w:t xml:space="preserve"> </w:t>
      </w:r>
      <w:r w:rsidR="007C383E" w:rsidRPr="00EF510D">
        <w:rPr>
          <w:b/>
          <w:bCs/>
        </w:rPr>
        <w:t xml:space="preserve">have the support they need to thrive academically and in life. </w:t>
      </w:r>
      <w:r w:rsidR="007C383E">
        <w:t xml:space="preserve">While school </w:t>
      </w:r>
      <w:r w:rsidR="008618D1">
        <w:t>and charter</w:t>
      </w:r>
      <w:r w:rsidR="007C383E">
        <w:t xml:space="preserve"> school districts and State </w:t>
      </w:r>
      <w:r w:rsidR="22786578">
        <w:t>Education</w:t>
      </w:r>
      <w:r w:rsidR="003169E8">
        <w:t>al</w:t>
      </w:r>
      <w:r w:rsidR="007C383E">
        <w:t xml:space="preserve"> Agencies have </w:t>
      </w:r>
      <w:r w:rsidR="009F244F">
        <w:t xml:space="preserve">received </w:t>
      </w:r>
      <w:r w:rsidR="007C383E">
        <w:t>dedicated funds to support this work</w:t>
      </w:r>
      <w:r w:rsidR="00A20411">
        <w:t xml:space="preserve">, </w:t>
      </w:r>
      <w:r w:rsidR="004F5A23">
        <w:t>g</w:t>
      </w:r>
      <w:r w:rsidR="00A20411">
        <w:t xml:space="preserve">overnors, </w:t>
      </w:r>
      <w:r w:rsidR="004F5A23">
        <w:t>mayors, and county leaders also have a responsibility to ensure the needs of the young people in their communities are met</w:t>
      </w:r>
      <w:r w:rsidR="002C3BDD">
        <w:t>.</w:t>
      </w:r>
      <w:r w:rsidR="004F5A23">
        <w:t xml:space="preserve"> </w:t>
      </w:r>
      <w:r w:rsidR="007C383E">
        <w:t xml:space="preserve"> </w:t>
      </w:r>
    </w:p>
    <w:p w14:paraId="7D7CB641" w14:textId="77777777" w:rsidR="008D7E03" w:rsidRPr="008D7E03" w:rsidRDefault="008D7E03" w:rsidP="00F46D97">
      <w:pPr>
        <w:spacing w:after="0"/>
      </w:pPr>
    </w:p>
    <w:p w14:paraId="3468E2EF" w14:textId="444426DB" w:rsidR="002E309F" w:rsidRPr="008D7E03" w:rsidRDefault="000C1C11" w:rsidP="00F46D97">
      <w:pPr>
        <w:spacing w:after="0"/>
      </w:pPr>
      <w:r>
        <w:t>Beyond these dedicated education funds, f</w:t>
      </w:r>
      <w:r w:rsidR="000F4796" w:rsidRPr="000F4796">
        <w:t xml:space="preserve">ederal funding is currently available for state and local leaders to </w:t>
      </w:r>
      <w:r w:rsidR="00F10296">
        <w:t>meet the academic and mental health needs of students and support their recovery from the pandemic’s impacts</w:t>
      </w:r>
      <w:r w:rsidR="000F4796" w:rsidRPr="000F4796">
        <w:t>.</w:t>
      </w:r>
      <w:r w:rsidR="000F4796" w:rsidRPr="000F4796">
        <w:rPr>
          <w:b/>
        </w:rPr>
        <w:t xml:space="preserve"> </w:t>
      </w:r>
      <w:r w:rsidR="00135E7E">
        <w:rPr>
          <w:b/>
        </w:rPr>
        <w:t>For example, t</w:t>
      </w:r>
      <w:r w:rsidR="002E309F" w:rsidRPr="008D7E03">
        <w:rPr>
          <w:b/>
        </w:rPr>
        <w:t xml:space="preserve">he American Rescue Plan provided $350 billion </w:t>
      </w:r>
      <w:r w:rsidR="00667969">
        <w:rPr>
          <w:b/>
        </w:rPr>
        <w:t>for the</w:t>
      </w:r>
      <w:r w:rsidR="002E309F" w:rsidRPr="008D7E03">
        <w:rPr>
          <w:b/>
        </w:rPr>
        <w:t xml:space="preserve"> U.S. Department of </w:t>
      </w:r>
      <w:r w:rsidR="00575EA3">
        <w:rPr>
          <w:b/>
        </w:rPr>
        <w:t xml:space="preserve">the </w:t>
      </w:r>
      <w:r w:rsidR="002E309F" w:rsidRPr="008D7E03">
        <w:rPr>
          <w:b/>
        </w:rPr>
        <w:t xml:space="preserve">Treasury (Treasury) State and Local Fiscal Recovery Funds (SLFRF) program. </w:t>
      </w:r>
      <w:r w:rsidR="002E309F" w:rsidRPr="008D7E03">
        <w:t xml:space="preserve">These funds may be used to </w:t>
      </w:r>
      <w:r w:rsidR="00A0435C">
        <w:t xml:space="preserve">address the impacts </w:t>
      </w:r>
      <w:r w:rsidR="00E475F6">
        <w:t xml:space="preserve">and disproportionate impacts </w:t>
      </w:r>
      <w:r w:rsidR="00A0435C">
        <w:t>of the pandemic</w:t>
      </w:r>
      <w:r w:rsidR="00B60925">
        <w:t>, including to</w:t>
      </w:r>
      <w:r w:rsidR="00A0435C">
        <w:t xml:space="preserve"> </w:t>
      </w:r>
      <w:r w:rsidR="002E309F" w:rsidRPr="008D7E03">
        <w:t>support schools</w:t>
      </w:r>
      <w:r w:rsidR="00A0435C">
        <w:t xml:space="preserve"> and students</w:t>
      </w:r>
      <w:r w:rsidR="00B60925">
        <w:t xml:space="preserve"> by</w:t>
      </w:r>
      <w:r w:rsidR="002E309F" w:rsidRPr="008D7E03">
        <w:t xml:space="preserve"> </w:t>
      </w:r>
      <w:r w:rsidR="004F5A23">
        <w:t>provid</w:t>
      </w:r>
      <w:r w:rsidR="00B60925">
        <w:t>ing</w:t>
      </w:r>
      <w:r w:rsidR="004F5A23">
        <w:t xml:space="preserve"> educational services; </w:t>
      </w:r>
      <w:r w:rsidR="00A0435C">
        <w:t>hir</w:t>
      </w:r>
      <w:r w:rsidR="00B60925">
        <w:t>ing</w:t>
      </w:r>
      <w:r w:rsidR="00A0435C">
        <w:t xml:space="preserve"> or rehir</w:t>
      </w:r>
      <w:r w:rsidR="00B60925">
        <w:t>ing</w:t>
      </w:r>
      <w:r w:rsidR="00A0435C">
        <w:t xml:space="preserve"> </w:t>
      </w:r>
      <w:r w:rsidR="094ACC4F">
        <w:t xml:space="preserve">educators and </w:t>
      </w:r>
      <w:r w:rsidR="00F46D97" w:rsidRPr="008D7E03">
        <w:t>school staff</w:t>
      </w:r>
      <w:r w:rsidR="004F5A23">
        <w:t>,</w:t>
      </w:r>
      <w:r w:rsidR="00F46D97" w:rsidRPr="008D7E03">
        <w:t xml:space="preserve"> including increas</w:t>
      </w:r>
      <w:r w:rsidR="00A0435C">
        <w:t>ing</w:t>
      </w:r>
      <w:r w:rsidR="00F46D97" w:rsidRPr="008D7E03">
        <w:t xml:space="preserve"> wages needed</w:t>
      </w:r>
      <w:r w:rsidR="002E309F" w:rsidRPr="008D7E03">
        <w:t xml:space="preserve"> </w:t>
      </w:r>
      <w:r w:rsidR="004F5A23">
        <w:t xml:space="preserve">to </w:t>
      </w:r>
      <w:r w:rsidR="00F46D97" w:rsidRPr="008D7E03">
        <w:t xml:space="preserve">recruit and retain excellent </w:t>
      </w:r>
      <w:r w:rsidR="09ACF38B">
        <w:t xml:space="preserve">educators and </w:t>
      </w:r>
      <w:r w:rsidR="002E309F" w:rsidRPr="008D7E03">
        <w:t>staff</w:t>
      </w:r>
      <w:r w:rsidR="004F5A23">
        <w:t xml:space="preserve">; </w:t>
      </w:r>
      <w:r w:rsidR="00F46D97" w:rsidRPr="008D7E03">
        <w:t>offer</w:t>
      </w:r>
      <w:r w:rsidR="00B60925">
        <w:t>ing</w:t>
      </w:r>
      <w:r w:rsidR="00F46D97" w:rsidRPr="008D7E03">
        <w:t xml:space="preserve"> premium pay</w:t>
      </w:r>
      <w:r w:rsidR="00E475F6">
        <w:t xml:space="preserve"> and</w:t>
      </w:r>
      <w:r w:rsidR="00F46D97" w:rsidRPr="008D7E03">
        <w:t xml:space="preserve"> bonuses</w:t>
      </w:r>
      <w:r w:rsidR="00086093">
        <w:t>;</w:t>
      </w:r>
      <w:r w:rsidR="00F46D97" w:rsidRPr="008D7E03">
        <w:t xml:space="preserve"> </w:t>
      </w:r>
      <w:r w:rsidR="09ACF38B">
        <w:t>and developing</w:t>
      </w:r>
      <w:r w:rsidR="00F46D97" w:rsidRPr="008D7E03">
        <w:t xml:space="preserve"> other </w:t>
      </w:r>
      <w:r w:rsidR="09ACF38B">
        <w:t>professional</w:t>
      </w:r>
      <w:r w:rsidR="00F46D97" w:rsidRPr="008D7E03">
        <w:t xml:space="preserve"> supports</w:t>
      </w:r>
      <w:r w:rsidR="002E309F" w:rsidRPr="008D7E03">
        <w:t xml:space="preserve">. </w:t>
      </w:r>
    </w:p>
    <w:p w14:paraId="571665BA" w14:textId="77777777" w:rsidR="008D7E03" w:rsidRPr="008D7E03" w:rsidRDefault="008D7E03" w:rsidP="00F46D97">
      <w:pPr>
        <w:spacing w:after="0"/>
      </w:pPr>
    </w:p>
    <w:p w14:paraId="114967CA" w14:textId="2B97A119" w:rsidR="008D7E03" w:rsidRDefault="008D7E03" w:rsidP="008D7E03">
      <w:pPr>
        <w:spacing w:after="0"/>
        <w:rPr>
          <w:rStyle w:val="normaltextrun"/>
          <w:color w:val="000000"/>
          <w:shd w:val="clear" w:color="auto" w:fill="FFFFFF"/>
          <w:lang w:val="en"/>
        </w:rPr>
      </w:pPr>
      <w:r w:rsidRPr="008D7E03">
        <w:rPr>
          <w:b/>
        </w:rPr>
        <w:t xml:space="preserve">State and local leaders can </w:t>
      </w:r>
      <w:r w:rsidR="00F516D9">
        <w:rPr>
          <w:b/>
        </w:rPr>
        <w:t>use SLFRF to complement</w:t>
      </w:r>
      <w:r w:rsidR="004F5A23">
        <w:rPr>
          <w:b/>
        </w:rPr>
        <w:t xml:space="preserve"> dedicated American Rescue Plan Elementary and Secondary School Emergency Relief funds (ARP ESSER)</w:t>
      </w:r>
      <w:r w:rsidR="00F516D9">
        <w:rPr>
          <w:b/>
        </w:rPr>
        <w:t xml:space="preserve"> funds</w:t>
      </w:r>
      <w:r w:rsidR="00961FBA">
        <w:rPr>
          <w:b/>
        </w:rPr>
        <w:t xml:space="preserve"> and other funds for early learning</w:t>
      </w:r>
      <w:r w:rsidR="00F516D9">
        <w:rPr>
          <w:b/>
        </w:rPr>
        <w:t>.</w:t>
      </w:r>
      <w:r w:rsidRPr="008D7E03">
        <w:rPr>
          <w:b/>
        </w:rPr>
        <w:t xml:space="preserve"> </w:t>
      </w:r>
      <w:r w:rsidR="00F516D9">
        <w:rPr>
          <w:bCs/>
        </w:rPr>
        <w:t xml:space="preserve">For example, Treasury has called on state and local governments to use </w:t>
      </w:r>
      <w:r w:rsidRPr="00667470">
        <w:rPr>
          <w:bCs/>
        </w:rPr>
        <w:t xml:space="preserve">SLFRF funds to </w:t>
      </w:r>
      <w:r w:rsidR="00F516D9">
        <w:rPr>
          <w:bCs/>
        </w:rPr>
        <w:t xml:space="preserve">support workers, expand the workforce, and ensure that jobs offer </w:t>
      </w:r>
      <w:r w:rsidR="00F417F1">
        <w:rPr>
          <w:bCs/>
        </w:rPr>
        <w:t xml:space="preserve">livable and </w:t>
      </w:r>
      <w:r w:rsidR="00F516D9">
        <w:rPr>
          <w:bCs/>
        </w:rPr>
        <w:t>competitive wages</w:t>
      </w:r>
      <w:r w:rsidR="003F26CA">
        <w:rPr>
          <w:bCs/>
        </w:rPr>
        <w:t>.</w:t>
      </w:r>
      <w:r w:rsidR="00F516D9">
        <w:rPr>
          <w:bCs/>
        </w:rPr>
        <w:t xml:space="preserve"> </w:t>
      </w:r>
      <w:r w:rsidR="003F26CA">
        <w:rPr>
          <w:bCs/>
        </w:rPr>
        <w:t>A</w:t>
      </w:r>
      <w:r w:rsidR="00F516D9">
        <w:rPr>
          <w:bCs/>
        </w:rPr>
        <w:t xml:space="preserve">ll of these steps can </w:t>
      </w:r>
      <w:r w:rsidRPr="00667470">
        <w:rPr>
          <w:bCs/>
        </w:rPr>
        <w:t xml:space="preserve">address ongoing labor shortages </w:t>
      </w:r>
      <w:r w:rsidR="00F516D9">
        <w:rPr>
          <w:bCs/>
        </w:rPr>
        <w:t xml:space="preserve">in schools. Governments can also accelerate </w:t>
      </w:r>
      <w:r w:rsidR="00C139E0">
        <w:rPr>
          <w:bCs/>
        </w:rPr>
        <w:t>student</w:t>
      </w:r>
      <w:r w:rsidR="000C1C11">
        <w:rPr>
          <w:bCs/>
        </w:rPr>
        <w:t>s</w:t>
      </w:r>
      <w:r w:rsidR="00E72CEF">
        <w:rPr>
          <w:bCs/>
        </w:rPr>
        <w:t xml:space="preserve">’ </w:t>
      </w:r>
      <w:r w:rsidR="00F516D9">
        <w:rPr>
          <w:bCs/>
        </w:rPr>
        <w:t>recovery from the pandemic’s impacts by funding</w:t>
      </w:r>
      <w:r w:rsidRPr="00667470">
        <w:rPr>
          <w:bCs/>
        </w:rPr>
        <w:t xml:space="preserve"> services to address </w:t>
      </w:r>
      <w:r w:rsidR="00E72CEF">
        <w:rPr>
          <w:bCs/>
        </w:rPr>
        <w:t>their</w:t>
      </w:r>
      <w:r w:rsidR="000C1C11">
        <w:rPr>
          <w:bCs/>
        </w:rPr>
        <w:t xml:space="preserve"> </w:t>
      </w:r>
      <w:r w:rsidR="009F3B67">
        <w:rPr>
          <w:bCs/>
        </w:rPr>
        <w:t>learning</w:t>
      </w:r>
      <w:r w:rsidR="009F3B67" w:rsidRPr="00667470">
        <w:rPr>
          <w:bCs/>
        </w:rPr>
        <w:t xml:space="preserve"> </w:t>
      </w:r>
      <w:r w:rsidRPr="00667470">
        <w:rPr>
          <w:bCs/>
        </w:rPr>
        <w:t>and mental health needs.</w:t>
      </w:r>
      <w:r w:rsidRPr="008D7E03">
        <w:t xml:space="preserve"> </w:t>
      </w:r>
    </w:p>
    <w:p w14:paraId="481F7458" w14:textId="77777777" w:rsidR="008D7E03" w:rsidRPr="008D7E03" w:rsidRDefault="008D7E03" w:rsidP="008D7E03">
      <w:pPr>
        <w:spacing w:after="0"/>
        <w:rPr>
          <w:rStyle w:val="normaltextrun"/>
          <w:color w:val="000000"/>
          <w:shd w:val="clear" w:color="auto" w:fill="FFFFFF"/>
          <w:lang w:val="en"/>
        </w:rPr>
      </w:pPr>
    </w:p>
    <w:p w14:paraId="79BF2424" w14:textId="33047269" w:rsidR="008D7E03" w:rsidRPr="008D7E03" w:rsidRDefault="008D7E03" w:rsidP="008678AC">
      <w:pPr>
        <w:spacing w:after="0"/>
        <w:rPr>
          <w:rStyle w:val="normaltextrun"/>
          <w:rFonts w:eastAsiaTheme="majorEastAsia" w:cstheme="minorHAnsi"/>
        </w:rPr>
      </w:pPr>
      <w:r w:rsidRPr="008D7E03">
        <w:rPr>
          <w:rStyle w:val="normaltextrun"/>
          <w:rFonts w:eastAsiaTheme="majorEastAsia" w:cstheme="minorHAnsi"/>
        </w:rPr>
        <w:t xml:space="preserve">To </w:t>
      </w:r>
      <w:r>
        <w:rPr>
          <w:rStyle w:val="normaltextrun"/>
          <w:rFonts w:eastAsiaTheme="majorEastAsia" w:cstheme="minorHAnsi"/>
        </w:rPr>
        <w:t xml:space="preserve">help state and local leaders understand how to deploy funds to </w:t>
      </w:r>
      <w:r w:rsidRPr="008D7E03">
        <w:rPr>
          <w:rStyle w:val="normaltextrun"/>
          <w:rFonts w:eastAsiaTheme="majorEastAsia" w:cstheme="minorHAnsi"/>
        </w:rPr>
        <w:t xml:space="preserve">address </w:t>
      </w:r>
      <w:r>
        <w:rPr>
          <w:rStyle w:val="normaltextrun"/>
          <w:rFonts w:eastAsiaTheme="majorEastAsia" w:cstheme="minorHAnsi"/>
        </w:rPr>
        <w:t xml:space="preserve">students’ </w:t>
      </w:r>
      <w:r w:rsidRPr="008D7E03">
        <w:rPr>
          <w:rStyle w:val="normaltextrun"/>
          <w:rFonts w:eastAsiaTheme="majorEastAsia" w:cstheme="minorHAnsi"/>
        </w:rPr>
        <w:t xml:space="preserve">needs, this toolkit reviews </w:t>
      </w:r>
      <w:r w:rsidR="7C729B68" w:rsidRPr="418CC0DF">
        <w:rPr>
          <w:rStyle w:val="normaltextrun"/>
          <w:rFonts w:eastAsiaTheme="majorEastAsia"/>
        </w:rPr>
        <w:t>allowable</w:t>
      </w:r>
      <w:r>
        <w:rPr>
          <w:rStyle w:val="normaltextrun"/>
          <w:rFonts w:eastAsiaTheme="majorEastAsia" w:cstheme="minorHAnsi"/>
        </w:rPr>
        <w:t xml:space="preserve"> </w:t>
      </w:r>
      <w:r w:rsidR="008678AC">
        <w:rPr>
          <w:rStyle w:val="normaltextrun"/>
          <w:rFonts w:eastAsiaTheme="majorEastAsia" w:cstheme="minorHAnsi"/>
        </w:rPr>
        <w:t xml:space="preserve">uses of funds </w:t>
      </w:r>
      <w:r w:rsidRPr="008D7E03">
        <w:rPr>
          <w:rStyle w:val="normaltextrun"/>
          <w:rFonts w:eastAsiaTheme="majorEastAsia" w:cstheme="minorHAnsi"/>
        </w:rPr>
        <w:t xml:space="preserve">that can support state educational agencies, local educational agencies, and schools in </w:t>
      </w:r>
      <w:r w:rsidR="7C729B68" w:rsidRPr="418CC0DF">
        <w:rPr>
          <w:rStyle w:val="normaltextrun"/>
          <w:rFonts w:eastAsiaTheme="majorEastAsia"/>
        </w:rPr>
        <w:t>continuing to undertake</w:t>
      </w:r>
      <w:r w:rsidRPr="008D7E03">
        <w:rPr>
          <w:rStyle w:val="normaltextrun"/>
          <w:rFonts w:eastAsiaTheme="majorEastAsia" w:cstheme="minorHAnsi"/>
        </w:rPr>
        <w:t xml:space="preserve"> </w:t>
      </w:r>
      <w:r w:rsidR="008678AC">
        <w:rPr>
          <w:rStyle w:val="normaltextrun"/>
          <w:rFonts w:eastAsiaTheme="majorEastAsia" w:cstheme="minorHAnsi"/>
        </w:rPr>
        <w:t xml:space="preserve">the critical </w:t>
      </w:r>
      <w:r w:rsidRPr="008D7E03">
        <w:rPr>
          <w:rStyle w:val="normaltextrun"/>
          <w:rFonts w:eastAsiaTheme="majorEastAsia" w:cstheme="minorHAnsi"/>
        </w:rPr>
        <w:t>work</w:t>
      </w:r>
      <w:r w:rsidR="008678AC">
        <w:rPr>
          <w:rStyle w:val="normaltextrun"/>
          <w:rFonts w:eastAsiaTheme="majorEastAsia" w:cstheme="minorHAnsi"/>
        </w:rPr>
        <w:t xml:space="preserve"> of addressing our students’ needs</w:t>
      </w:r>
      <w:r w:rsidRPr="008D7E03">
        <w:rPr>
          <w:rStyle w:val="normaltextrun"/>
          <w:rFonts w:eastAsiaTheme="majorEastAsia" w:cstheme="minorHAnsi"/>
        </w:rPr>
        <w:t xml:space="preserve">. </w:t>
      </w:r>
    </w:p>
    <w:p w14:paraId="34DA608E" w14:textId="77777777" w:rsidR="008D7E03" w:rsidRPr="008D7E03" w:rsidRDefault="008D7E03" w:rsidP="008D7E03">
      <w:pPr>
        <w:spacing w:after="0"/>
        <w:rPr>
          <w:rStyle w:val="normaltextrun"/>
          <w:rFonts w:eastAsiaTheme="majorEastAsia" w:cstheme="minorHAnsi"/>
        </w:rPr>
      </w:pPr>
    </w:p>
    <w:p w14:paraId="5EDE4E5B" w14:textId="11C3A10B" w:rsidR="008D7E03" w:rsidRPr="008D7E03" w:rsidRDefault="008D7E03" w:rsidP="008D7E03">
      <w:pPr>
        <w:spacing w:after="0"/>
        <w:rPr>
          <w:rStyle w:val="normaltextrun"/>
          <w:rFonts w:eastAsiaTheme="majorEastAsia" w:cstheme="minorHAnsi"/>
          <w:sz w:val="24"/>
          <w:szCs w:val="24"/>
        </w:rPr>
      </w:pPr>
      <w:r w:rsidRPr="008D7E03">
        <w:rPr>
          <w:rStyle w:val="normaltextrun"/>
          <w:rFonts w:eastAsiaTheme="majorEastAsia" w:cstheme="minorHAnsi"/>
        </w:rPr>
        <w:t>This document is non-exhaustive</w:t>
      </w:r>
      <w:r w:rsidR="00F9171D">
        <w:rPr>
          <w:rStyle w:val="normaltextrun"/>
          <w:rFonts w:eastAsiaTheme="majorEastAsia" w:cstheme="minorHAnsi"/>
        </w:rPr>
        <w:t>, and all uses of SLFRF funds must comply with the framework set out in the SLFRF final rule</w:t>
      </w:r>
      <w:r w:rsidRPr="008D7E03">
        <w:rPr>
          <w:rStyle w:val="normaltextrun"/>
          <w:rFonts w:eastAsiaTheme="majorEastAsia" w:cstheme="minorHAnsi"/>
        </w:rPr>
        <w:t xml:space="preserve">. </w:t>
      </w:r>
      <w:r w:rsidR="004F5A23">
        <w:rPr>
          <w:rStyle w:val="normaltextrun"/>
          <w:rFonts w:eastAsiaTheme="majorEastAsia" w:cstheme="minorHAnsi"/>
        </w:rPr>
        <w:t xml:space="preserve">The U.S. Department of the </w:t>
      </w:r>
      <w:r w:rsidRPr="008D7E03">
        <w:rPr>
          <w:rStyle w:val="normaltextrun"/>
          <w:rFonts w:eastAsiaTheme="majorEastAsia" w:cstheme="minorHAnsi"/>
        </w:rPr>
        <w:t xml:space="preserve">Treasury can offer additional information on specific topics upon request (see contact information below).  </w:t>
      </w:r>
    </w:p>
    <w:p w14:paraId="1170E0FD" w14:textId="17C26745" w:rsidR="002E309F" w:rsidRPr="001129D6" w:rsidRDefault="008D7E03" w:rsidP="00F46D97">
      <w:pPr>
        <w:pStyle w:val="Heading1"/>
        <w:rPr>
          <w:rStyle w:val="normaltextrun"/>
          <w:b/>
        </w:rPr>
      </w:pPr>
      <w:r>
        <w:rPr>
          <w:rStyle w:val="normaltextrun"/>
          <w:b/>
        </w:rPr>
        <w:t xml:space="preserve">How </w:t>
      </w:r>
      <w:r w:rsidR="002E309F">
        <w:rPr>
          <w:rStyle w:val="normaltextrun"/>
          <w:b/>
        </w:rPr>
        <w:t>State and Local Fiscal Recovery Funds</w:t>
      </w:r>
      <w:r>
        <w:rPr>
          <w:rStyle w:val="normaltextrun"/>
          <w:b/>
        </w:rPr>
        <w:t xml:space="preserve"> Can Support Schools</w:t>
      </w:r>
      <w:r w:rsidR="00E72CEF">
        <w:rPr>
          <w:rStyle w:val="normaltextrun"/>
          <w:b/>
        </w:rPr>
        <w:t xml:space="preserve"> and Early Learning Providers</w:t>
      </w:r>
    </w:p>
    <w:p w14:paraId="3273FAEA" w14:textId="77777777" w:rsidR="002E309F" w:rsidRPr="008D7E03" w:rsidRDefault="002E309F" w:rsidP="00F46D97">
      <w:pPr>
        <w:spacing w:after="0"/>
        <w:rPr>
          <w:rFonts w:cstheme="minorHAnsi"/>
        </w:rPr>
      </w:pPr>
    </w:p>
    <w:p w14:paraId="266DB4E8" w14:textId="730C1817" w:rsidR="008D7E03" w:rsidRPr="008D7E03" w:rsidRDefault="002E309F" w:rsidP="00F46D97">
      <w:pPr>
        <w:spacing w:after="0"/>
        <w:rPr>
          <w:rFonts w:cstheme="minorHAnsi"/>
        </w:rPr>
      </w:pPr>
      <w:r w:rsidRPr="008D7E03">
        <w:rPr>
          <w:rFonts w:cstheme="minorHAnsi"/>
        </w:rPr>
        <w:lastRenderedPageBreak/>
        <w:t xml:space="preserve">The ARP </w:t>
      </w:r>
      <w:r w:rsidR="00604A4A">
        <w:rPr>
          <w:rFonts w:cstheme="minorHAnsi"/>
        </w:rPr>
        <w:t>SLFRF</w:t>
      </w:r>
      <w:r w:rsidRPr="008D7E03">
        <w:rPr>
          <w:rFonts w:cstheme="minorHAnsi"/>
        </w:rPr>
        <w:t xml:space="preserve"> program </w:t>
      </w:r>
      <w:r w:rsidR="00A26645">
        <w:rPr>
          <w:rFonts w:cstheme="minorHAnsi"/>
        </w:rPr>
        <w:t>provides</w:t>
      </w:r>
      <w:r w:rsidRPr="008D7E03">
        <w:rPr>
          <w:rFonts w:cstheme="minorHAnsi"/>
        </w:rPr>
        <w:t xml:space="preserve"> direct aid to </w:t>
      </w:r>
      <w:r w:rsidR="00604A4A">
        <w:rPr>
          <w:rFonts w:cstheme="minorHAnsi"/>
        </w:rPr>
        <w:t>jurisdictions</w:t>
      </w:r>
      <w:r w:rsidRPr="008D7E03">
        <w:rPr>
          <w:rFonts w:cstheme="minorHAnsi"/>
        </w:rPr>
        <w:t xml:space="preserve"> across the country, to turn the tide of the pandemic and support a strong and equitable recovery. </w:t>
      </w:r>
      <w:r w:rsidR="000C1C11">
        <w:rPr>
          <w:rFonts w:cstheme="minorHAnsi"/>
        </w:rPr>
        <w:t>State and local officials</w:t>
      </w:r>
      <w:r w:rsidRPr="008D7E03">
        <w:rPr>
          <w:rFonts w:cstheme="minorHAnsi"/>
        </w:rPr>
        <w:t xml:space="preserve"> have the ability to choose among many potential eligible uses, but a core purpose of the funds is to </w:t>
      </w:r>
      <w:r w:rsidR="00463DB2">
        <w:rPr>
          <w:rFonts w:cstheme="minorHAnsi"/>
        </w:rPr>
        <w:t xml:space="preserve">get more Americans back to work in good jobs, including by </w:t>
      </w:r>
      <w:r w:rsidRPr="008D7E03">
        <w:rPr>
          <w:rFonts w:cstheme="minorHAnsi"/>
        </w:rPr>
        <w:t>support</w:t>
      </w:r>
      <w:r w:rsidR="00463DB2">
        <w:rPr>
          <w:rFonts w:cstheme="minorHAnsi"/>
        </w:rPr>
        <w:t>ing</w:t>
      </w:r>
      <w:r w:rsidRPr="008D7E03">
        <w:rPr>
          <w:rFonts w:cstheme="minorHAnsi"/>
        </w:rPr>
        <w:t xml:space="preserve"> public sector employment and essential workers in both the public and private sector. </w:t>
      </w:r>
    </w:p>
    <w:p w14:paraId="59C1F036" w14:textId="77777777" w:rsidR="008D7E03" w:rsidRPr="008D7E03" w:rsidRDefault="008D7E03" w:rsidP="00F46D97">
      <w:pPr>
        <w:spacing w:after="0"/>
        <w:rPr>
          <w:rFonts w:cstheme="minorHAnsi"/>
          <w:color w:val="FF0000"/>
        </w:rPr>
      </w:pPr>
    </w:p>
    <w:p w14:paraId="471D3E58" w14:textId="5E0625B6" w:rsidR="008D7E03" w:rsidRPr="008D7E03" w:rsidRDefault="001D691A" w:rsidP="00667470">
      <w:pPr>
        <w:spacing w:line="240" w:lineRule="auto"/>
        <w:rPr>
          <w:rFonts w:cstheme="minorHAnsi"/>
          <w:iCs/>
        </w:rPr>
      </w:pPr>
      <w:r w:rsidRPr="001D691A">
        <w:rPr>
          <w:rFonts w:cstheme="minorHAnsi"/>
        </w:rPr>
        <w:t xml:space="preserve">Despite significant progress, there is more work to do to </w:t>
      </w:r>
      <w:r w:rsidR="004E107B">
        <w:rPr>
          <w:rFonts w:cstheme="minorHAnsi"/>
        </w:rPr>
        <w:t xml:space="preserve">restore </w:t>
      </w:r>
      <w:r w:rsidR="00EE7D96">
        <w:rPr>
          <w:rFonts w:cstheme="minorHAnsi"/>
        </w:rPr>
        <w:t xml:space="preserve">schools </w:t>
      </w:r>
      <w:r w:rsidRPr="001D691A">
        <w:rPr>
          <w:rFonts w:cstheme="minorHAnsi"/>
        </w:rPr>
        <w:t>to pre-pandemic</w:t>
      </w:r>
      <w:r w:rsidR="00EE7D96">
        <w:rPr>
          <w:rFonts w:cstheme="minorHAnsi"/>
        </w:rPr>
        <w:t xml:space="preserve"> staffing</w:t>
      </w:r>
      <w:r w:rsidRPr="001D691A">
        <w:rPr>
          <w:rFonts w:cstheme="minorHAnsi"/>
        </w:rPr>
        <w:t xml:space="preserve"> levels</w:t>
      </w:r>
      <w:r w:rsidR="004E107B">
        <w:rPr>
          <w:rFonts w:cstheme="minorHAnsi"/>
        </w:rPr>
        <w:t xml:space="preserve"> and make further progress against </w:t>
      </w:r>
      <w:r w:rsidR="004E107B" w:rsidRPr="001D691A">
        <w:rPr>
          <w:rFonts w:cstheme="minorHAnsi"/>
        </w:rPr>
        <w:t>longstanding educator shortages</w:t>
      </w:r>
      <w:r w:rsidRPr="00E471DC">
        <w:rPr>
          <w:rFonts w:cstheme="minorHAnsi"/>
        </w:rPr>
        <w:t xml:space="preserve">. </w:t>
      </w:r>
      <w:r w:rsidR="00237590" w:rsidRPr="00667470">
        <w:rPr>
          <w:rFonts w:cs="Times New Roman"/>
        </w:rPr>
        <w:t xml:space="preserve">When the President took office, there were 624,000 fewer staff working in our schools </w:t>
      </w:r>
      <w:r w:rsidR="00E72CEF">
        <w:rPr>
          <w:rFonts w:cs="Times New Roman"/>
        </w:rPr>
        <w:t xml:space="preserve">and nearly 200,000 fewer child care workers </w:t>
      </w:r>
      <w:r w:rsidR="00237590" w:rsidRPr="00667470">
        <w:rPr>
          <w:rFonts w:cs="Times New Roman"/>
        </w:rPr>
        <w:t xml:space="preserve">than before the pandemic. As of </w:t>
      </w:r>
      <w:r w:rsidR="003F26CA">
        <w:rPr>
          <w:rFonts w:cs="Times New Roman"/>
        </w:rPr>
        <w:t>May</w:t>
      </w:r>
      <w:r w:rsidR="00237590" w:rsidRPr="00667470">
        <w:rPr>
          <w:rFonts w:cs="Times New Roman"/>
        </w:rPr>
        <w:t>, that gap has been cut nearly in half.</w:t>
      </w:r>
      <w:r w:rsidRPr="00E471DC">
        <w:rPr>
          <w:rFonts w:cstheme="minorHAnsi"/>
        </w:rPr>
        <w:t xml:space="preserve">  </w:t>
      </w:r>
      <w:r w:rsidRPr="001D691A">
        <w:rPr>
          <w:rFonts w:cstheme="minorHAnsi"/>
        </w:rPr>
        <w:t xml:space="preserve">As schools </w:t>
      </w:r>
      <w:r w:rsidR="00E72CEF">
        <w:rPr>
          <w:rFonts w:cstheme="minorHAnsi"/>
        </w:rPr>
        <w:t xml:space="preserve">and early learning providers </w:t>
      </w:r>
      <w:r w:rsidR="00E471DC">
        <w:rPr>
          <w:rFonts w:cstheme="minorHAnsi"/>
        </w:rPr>
        <w:t xml:space="preserve">work to address the impacts of the pandemic on student learning and mental health, </w:t>
      </w:r>
      <w:r w:rsidRPr="001D691A">
        <w:rPr>
          <w:rFonts w:cstheme="minorHAnsi"/>
        </w:rPr>
        <w:t>efforts to recruit and retain the education workforce</w:t>
      </w:r>
      <w:r w:rsidR="000C1C11">
        <w:rPr>
          <w:rFonts w:cstheme="minorHAnsi"/>
        </w:rPr>
        <w:t xml:space="preserve"> (including </w:t>
      </w:r>
      <w:hyperlink r:id="rId11" w:history="1">
        <w:r w:rsidR="000C1C11" w:rsidRPr="000C1C11">
          <w:rPr>
            <w:rStyle w:val="Hyperlink"/>
            <w:rFonts w:cstheme="minorHAnsi"/>
          </w:rPr>
          <w:t>teachers</w:t>
        </w:r>
      </w:hyperlink>
      <w:r w:rsidR="000C1C11">
        <w:rPr>
          <w:rFonts w:cstheme="minorHAnsi"/>
        </w:rPr>
        <w:t xml:space="preserve"> and </w:t>
      </w:r>
      <w:hyperlink r:id="rId12" w:history="1">
        <w:r w:rsidR="000C1C11" w:rsidRPr="000C1C11">
          <w:rPr>
            <w:rStyle w:val="Hyperlink"/>
            <w:rFonts w:cstheme="minorHAnsi"/>
          </w:rPr>
          <w:t>staff</w:t>
        </w:r>
      </w:hyperlink>
      <w:r w:rsidR="000C1C11">
        <w:rPr>
          <w:rFonts w:cstheme="minorHAnsi"/>
        </w:rPr>
        <w:t>)</w:t>
      </w:r>
      <w:r w:rsidRPr="001D691A">
        <w:rPr>
          <w:rFonts w:cstheme="minorHAnsi"/>
        </w:rPr>
        <w:t xml:space="preserve"> have become more critical than ever</w:t>
      </w:r>
      <w:r w:rsidR="1448193A" w:rsidRPr="418CC0DF">
        <w:t>, particularly in high-need fields such as special education, bilingual education, career and technical education, and science, technology, engineering, and math education and in underserved communities</w:t>
      </w:r>
      <w:r w:rsidRPr="001D691A">
        <w:rPr>
          <w:rFonts w:cstheme="minorHAnsi"/>
        </w:rPr>
        <w:t>.</w:t>
      </w:r>
    </w:p>
    <w:p w14:paraId="47ED9DBF" w14:textId="74A21E97" w:rsidR="008D7E03" w:rsidRDefault="00012617" w:rsidP="008D7E03">
      <w:pPr>
        <w:pStyle w:val="Heading2"/>
        <w:numPr>
          <w:ilvl w:val="0"/>
          <w:numId w:val="3"/>
        </w:numPr>
      </w:pPr>
      <w:r>
        <w:rPr>
          <w:rStyle w:val="Heading3Char"/>
          <w:b/>
        </w:rPr>
        <w:t xml:space="preserve">Supporting School </w:t>
      </w:r>
      <w:r w:rsidR="6F030399" w:rsidRPr="418CC0DF">
        <w:rPr>
          <w:rStyle w:val="Heading3Char"/>
          <w:b/>
          <w:bCs/>
        </w:rPr>
        <w:t xml:space="preserve">Educators </w:t>
      </w:r>
      <w:r w:rsidR="00E72CEF">
        <w:rPr>
          <w:rStyle w:val="Heading3Char"/>
          <w:b/>
        </w:rPr>
        <w:t xml:space="preserve">and Early Learning </w:t>
      </w:r>
      <w:r>
        <w:rPr>
          <w:rStyle w:val="Heading3Char"/>
          <w:b/>
        </w:rPr>
        <w:t>Staff</w:t>
      </w:r>
    </w:p>
    <w:p w14:paraId="01C98035" w14:textId="77777777" w:rsidR="008D7E03" w:rsidRPr="008D7E03" w:rsidRDefault="008D7E03" w:rsidP="00F46D97">
      <w:pPr>
        <w:spacing w:after="0"/>
        <w:rPr>
          <w:rFonts w:cstheme="minorHAnsi"/>
        </w:rPr>
      </w:pPr>
    </w:p>
    <w:p w14:paraId="2A48203C" w14:textId="1C0C83F8" w:rsidR="008D7E03" w:rsidRPr="008D7E03" w:rsidRDefault="002E309F" w:rsidP="00F46D97">
      <w:pPr>
        <w:spacing w:after="0"/>
        <w:rPr>
          <w:rFonts w:cstheme="minorHAnsi"/>
          <w:b/>
          <w:bCs/>
          <w:i/>
          <w:iCs/>
        </w:rPr>
      </w:pPr>
      <w:r w:rsidRPr="008D7E03">
        <w:rPr>
          <w:rFonts w:cstheme="minorHAnsi"/>
          <w:b/>
          <w:bCs/>
          <w:i/>
          <w:iCs/>
        </w:rPr>
        <w:t>SLFRF can be used for salaries and benefits for public employees to restore public sector</w:t>
      </w:r>
      <w:r w:rsidR="00FC7519">
        <w:rPr>
          <w:rFonts w:cstheme="minorHAnsi"/>
          <w:b/>
          <w:bCs/>
          <w:i/>
          <w:iCs/>
        </w:rPr>
        <w:t xml:space="preserve"> capacity</w:t>
      </w:r>
      <w:r w:rsidRPr="008D7E03">
        <w:rPr>
          <w:rFonts w:cstheme="minorHAnsi"/>
          <w:b/>
          <w:bCs/>
          <w:i/>
          <w:iCs/>
        </w:rPr>
        <w:t>:</w:t>
      </w:r>
    </w:p>
    <w:p w14:paraId="2C09735E" w14:textId="33890523" w:rsidR="002E309F" w:rsidRPr="008D7E03" w:rsidRDefault="00A11936" w:rsidP="00F46D97">
      <w:pPr>
        <w:spacing w:after="0"/>
        <w:rPr>
          <w:rFonts w:cstheme="minorHAnsi"/>
        </w:rPr>
      </w:pPr>
      <w:r>
        <w:rPr>
          <w:rFonts w:cstheme="minorHAnsi"/>
        </w:rPr>
        <w:t>SLFRF</w:t>
      </w:r>
      <w:r w:rsidR="002E309F" w:rsidRPr="008D7E03">
        <w:rPr>
          <w:rFonts w:cstheme="minorHAnsi"/>
        </w:rPr>
        <w:t xml:space="preserve"> can be used to pay for salaries and covered benefits of </w:t>
      </w:r>
      <w:r w:rsidR="00FC7519">
        <w:rPr>
          <w:rFonts w:cstheme="minorHAnsi"/>
        </w:rPr>
        <w:t>hiring or rehiring</w:t>
      </w:r>
      <w:r>
        <w:rPr>
          <w:rFonts w:cstheme="minorHAnsi"/>
        </w:rPr>
        <w:t xml:space="preserve"> </w:t>
      </w:r>
      <w:r w:rsidR="002E309F" w:rsidRPr="008D7E03">
        <w:rPr>
          <w:rFonts w:cstheme="minorHAnsi"/>
        </w:rPr>
        <w:t xml:space="preserve">public sector employees, including </w:t>
      </w:r>
      <w:r>
        <w:rPr>
          <w:rFonts w:cstheme="minorHAnsi"/>
        </w:rPr>
        <w:t>hiring above pre-pandemic staffing levels to address</w:t>
      </w:r>
      <w:r w:rsidR="002E309F" w:rsidRPr="008D7E03">
        <w:rPr>
          <w:rFonts w:cstheme="minorHAnsi"/>
        </w:rPr>
        <w:t xml:space="preserve"> historic underinvestment in the public sector. SLFRF recipients can use funds to </w:t>
      </w:r>
      <w:r w:rsidR="00DD0AC8">
        <w:rPr>
          <w:rFonts w:cstheme="minorHAnsi"/>
        </w:rPr>
        <w:t xml:space="preserve">hire staff </w:t>
      </w:r>
      <w:r w:rsidR="002E309F" w:rsidRPr="008D7E03">
        <w:rPr>
          <w:rFonts w:cstheme="minorHAnsi"/>
        </w:rPr>
        <w:t>up to 7.5% above the pre-pandemic baseline number of budgeted full-time equivalent (FTE) staff on January 27, 2020, when compared with the budgeted FTEs on March 3, 2021</w:t>
      </w:r>
      <w:r w:rsidR="2E9A75E1" w:rsidRPr="418CC0DF">
        <w:t>,</w:t>
      </w:r>
      <w:r w:rsidR="00671702" w:rsidRPr="00671702">
        <w:rPr>
          <w:rFonts w:cstheme="minorHAnsi"/>
        </w:rPr>
        <w:t xml:space="preserve"> </w:t>
      </w:r>
      <w:r w:rsidR="00671702">
        <w:rPr>
          <w:rFonts w:cstheme="minorHAnsi"/>
        </w:rPr>
        <w:t>provided that funds must be used for additional budgeted FTEs above the March 3, 2021 level</w:t>
      </w:r>
      <w:r w:rsidR="002E309F" w:rsidRPr="008D7E03">
        <w:rPr>
          <w:rFonts w:cstheme="minorHAnsi"/>
        </w:rPr>
        <w:t>. That means that if a county had, for example, 1</w:t>
      </w:r>
      <w:r w:rsidR="009E5599">
        <w:rPr>
          <w:rFonts w:cstheme="minorHAnsi"/>
        </w:rPr>
        <w:t>,</w:t>
      </w:r>
      <w:r w:rsidR="002E309F" w:rsidRPr="008D7E03">
        <w:rPr>
          <w:rFonts w:cstheme="minorHAnsi"/>
        </w:rPr>
        <w:t>000 staff before the pandemic, and 900 on March 3, 2021, SLFRF Funds can be used to hire up to 175 staff ((1</w:t>
      </w:r>
      <w:r w:rsidR="00FC4440">
        <w:rPr>
          <w:rFonts w:cstheme="minorHAnsi"/>
        </w:rPr>
        <w:t>,</w:t>
      </w:r>
      <w:r w:rsidR="002E309F" w:rsidRPr="008D7E03">
        <w:rPr>
          <w:rFonts w:cstheme="minorHAnsi"/>
        </w:rPr>
        <w:t xml:space="preserve">000*1.075)-900 = 175). At their discretion, SLFRF recipients may exclude from the calculation the number of FTEs dedicated to responding to the COVID-19 public health emergency. </w:t>
      </w:r>
      <w:r w:rsidR="00DD0AC8">
        <w:rPr>
          <w:rFonts w:cstheme="minorHAnsi"/>
        </w:rPr>
        <w:t xml:space="preserve">Under this option, </w:t>
      </w:r>
      <w:r w:rsidR="00DD0AC8">
        <w:t>s</w:t>
      </w:r>
      <w:r w:rsidR="00DD0AC8" w:rsidRPr="00644D31">
        <w:t xml:space="preserve">tates and localities have flexibility to hire for different roles than those that were lost during the pandemic, so governments may choose to hire in areas of greatest need, such as </w:t>
      </w:r>
      <w:r w:rsidR="00DD0AC8" w:rsidRPr="00163BAF">
        <w:t>in education.</w:t>
      </w:r>
    </w:p>
    <w:p w14:paraId="019BB844" w14:textId="77777777" w:rsidR="002E309F" w:rsidRPr="008D7E03" w:rsidRDefault="002E309F" w:rsidP="00F46D97">
      <w:pPr>
        <w:spacing w:after="0"/>
        <w:rPr>
          <w:rFonts w:cstheme="minorHAnsi"/>
        </w:rPr>
      </w:pPr>
      <w:r w:rsidRPr="008D7E03">
        <w:rPr>
          <w:rFonts w:cstheme="minorHAnsi"/>
        </w:rPr>
        <w:t> </w:t>
      </w:r>
    </w:p>
    <w:p w14:paraId="3C017BFF" w14:textId="279E00AD" w:rsidR="00903BA6" w:rsidRPr="00163BAF" w:rsidRDefault="000472FA" w:rsidP="00163BAF">
      <w:pPr>
        <w:spacing w:after="0"/>
        <w:rPr>
          <w:i/>
        </w:rPr>
      </w:pPr>
      <w:r>
        <w:rPr>
          <w:rFonts w:cstheme="minorHAnsi"/>
        </w:rPr>
        <w:t xml:space="preserve">Governments can also use funds to </w:t>
      </w:r>
      <w:r w:rsidR="00DD0AC8">
        <w:rPr>
          <w:rFonts w:cstheme="minorHAnsi"/>
        </w:rPr>
        <w:t xml:space="preserve">support and retain public sector workers, including reasonable </w:t>
      </w:r>
      <w:r>
        <w:rPr>
          <w:rFonts w:cstheme="minorHAnsi"/>
        </w:rPr>
        <w:t>increase</w:t>
      </w:r>
      <w:r w:rsidR="00DD0AC8">
        <w:rPr>
          <w:rFonts w:cstheme="minorHAnsi"/>
        </w:rPr>
        <w:t>s</w:t>
      </w:r>
      <w:r w:rsidR="002E309F" w:rsidRPr="008D7E03">
        <w:rPr>
          <w:rFonts w:cstheme="minorHAnsi"/>
        </w:rPr>
        <w:t xml:space="preserve"> compensation for existing or new staff. </w:t>
      </w:r>
      <w:r w:rsidR="00DD0AC8">
        <w:rPr>
          <w:rFonts w:cstheme="minorHAnsi"/>
        </w:rPr>
        <w:t xml:space="preserve">Specifically, </w:t>
      </w:r>
      <w:r w:rsidR="002E309F" w:rsidRPr="008D7E03">
        <w:rPr>
          <w:rFonts w:cstheme="minorHAnsi"/>
        </w:rPr>
        <w:t xml:space="preserve">SLFRF funds can </w:t>
      </w:r>
      <w:r w:rsidR="00DD0AC8">
        <w:rPr>
          <w:rFonts w:cstheme="minorHAnsi"/>
        </w:rPr>
        <w:t xml:space="preserve">be used to provide </w:t>
      </w:r>
      <w:r w:rsidR="00FC7519">
        <w:rPr>
          <w:rFonts w:cstheme="minorHAnsi"/>
        </w:rPr>
        <w:t xml:space="preserve">additional funding for employees who experienced pay reductions or were furloughed since the onset of the pandemic </w:t>
      </w:r>
      <w:r w:rsidR="002E309F" w:rsidRPr="008D7E03">
        <w:rPr>
          <w:rFonts w:cstheme="minorHAnsi"/>
        </w:rPr>
        <w:t>(up to the difference in the employee’s pay, taking into account unemployment benefits received</w:t>
      </w:r>
      <w:r w:rsidR="2E9A75E1" w:rsidRPr="418CC0DF">
        <w:t>);</w:t>
      </w:r>
      <w:r w:rsidR="002E309F" w:rsidRPr="008D7E03">
        <w:rPr>
          <w:rFonts w:cstheme="minorHAnsi"/>
        </w:rPr>
        <w:t xml:space="preserve"> </w:t>
      </w:r>
      <w:r w:rsidR="00DD0AC8">
        <w:rPr>
          <w:rFonts w:cstheme="minorHAnsi"/>
        </w:rPr>
        <w:t xml:space="preserve">maintaining current compensation levels (with adjustments for inflation) in order to prevent layoffs; and </w:t>
      </w:r>
      <w:r w:rsidR="002E309F" w:rsidRPr="008D7E03">
        <w:rPr>
          <w:rFonts w:cstheme="minorHAnsi"/>
        </w:rPr>
        <w:t xml:space="preserve">providing </w:t>
      </w:r>
      <w:r w:rsidR="00DD0AC8">
        <w:rPr>
          <w:rFonts w:cstheme="minorHAnsi"/>
        </w:rPr>
        <w:t xml:space="preserve">worker </w:t>
      </w:r>
      <w:r>
        <w:rPr>
          <w:rFonts w:cstheme="minorHAnsi"/>
        </w:rPr>
        <w:t xml:space="preserve">retention </w:t>
      </w:r>
      <w:r w:rsidR="00DD0AC8">
        <w:rPr>
          <w:rFonts w:cstheme="minorHAnsi"/>
        </w:rPr>
        <w:t xml:space="preserve">incentives, including reasonable increases in compensation. </w:t>
      </w:r>
      <w:r w:rsidR="002E309F" w:rsidRPr="008D7E03">
        <w:rPr>
          <w:rFonts w:cstheme="minorHAnsi"/>
        </w:rPr>
        <w:t>SLFRF funds can also pay for administrative costs related to hiring, support, and retention.</w:t>
      </w:r>
      <w:r w:rsidR="002E309F" w:rsidRPr="008D7E03">
        <w:rPr>
          <w:rFonts w:cstheme="minorHAnsi"/>
          <w:shd w:val="clear" w:color="auto" w:fill="FFFF00"/>
        </w:rPr>
        <w:t xml:space="preserve"> </w:t>
      </w:r>
    </w:p>
    <w:p w14:paraId="706E0C5E" w14:textId="77777777" w:rsidR="00604A4A" w:rsidRPr="008D7E03" w:rsidRDefault="00604A4A" w:rsidP="00163BAF">
      <w:pPr>
        <w:spacing w:after="0"/>
        <w:rPr>
          <w:rFonts w:cstheme="minorHAnsi"/>
        </w:rPr>
      </w:pPr>
    </w:p>
    <w:p w14:paraId="6BC5D573" w14:textId="514F7BCE" w:rsidR="002E309F" w:rsidRDefault="002E309F" w:rsidP="00F46D97">
      <w:pPr>
        <w:spacing w:after="0"/>
        <w:rPr>
          <w:rFonts w:cstheme="minorHAnsi"/>
        </w:rPr>
      </w:pPr>
      <w:r w:rsidRPr="008D7E03">
        <w:rPr>
          <w:rFonts w:cstheme="minorHAnsi"/>
        </w:rPr>
        <w:t xml:space="preserve">These costs can also include hiring bonuses to help fill vacancies, and retention bonuses </w:t>
      </w:r>
      <w:r w:rsidR="004965B8">
        <w:rPr>
          <w:rFonts w:cstheme="minorHAnsi"/>
        </w:rPr>
        <w:t>for</w:t>
      </w:r>
      <w:r w:rsidRPr="008D7E03">
        <w:rPr>
          <w:rFonts w:cstheme="minorHAnsi"/>
        </w:rPr>
        <w:t xml:space="preserve"> public employees, </w:t>
      </w:r>
      <w:r w:rsidR="004965B8">
        <w:rPr>
          <w:rFonts w:cstheme="minorHAnsi"/>
        </w:rPr>
        <w:t>given the importance of compensation</w:t>
      </w:r>
      <w:r w:rsidR="004965B8" w:rsidRPr="008D7E03">
        <w:rPr>
          <w:rFonts w:cstheme="minorHAnsi"/>
        </w:rPr>
        <w:t xml:space="preserve"> </w:t>
      </w:r>
      <w:r w:rsidRPr="008D7E03">
        <w:rPr>
          <w:rFonts w:cstheme="minorHAnsi"/>
        </w:rPr>
        <w:t xml:space="preserve">in a highly competitive labor market. Retention bonuses are in addition to an employee’s regular compensation, and must be reasonable to compete for the employees. Treasury presumes that retention incentives that are less than 25 percent of base pay for an individual employee or 10 percent for a group or category of employees are reasonably proportional to the need. </w:t>
      </w:r>
      <w:r w:rsidR="2E9A75E1" w:rsidRPr="418CC0DF">
        <w:t xml:space="preserve">These bonuses can provide additional compensation to educators and staff in </w:t>
      </w:r>
      <w:r w:rsidR="2E9A75E1" w:rsidRPr="418CC0DF">
        <w:lastRenderedPageBreak/>
        <w:t>the short term while states work towards ensuring that all school employees earn a livable and competitive wage.</w:t>
      </w:r>
    </w:p>
    <w:p w14:paraId="1F9A97BD" w14:textId="77777777" w:rsidR="00D3773C" w:rsidRDefault="00D3773C" w:rsidP="00F46D97">
      <w:pPr>
        <w:spacing w:after="0"/>
        <w:rPr>
          <w:rFonts w:cstheme="minorHAnsi"/>
        </w:rPr>
      </w:pPr>
    </w:p>
    <w:p w14:paraId="08BBE3FD" w14:textId="7998E9BE" w:rsidR="00D3773C" w:rsidRPr="007D09B9" w:rsidRDefault="00D3773C" w:rsidP="00F46D97">
      <w:pPr>
        <w:spacing w:after="0"/>
        <w:rPr>
          <w:u w:val="single"/>
        </w:rPr>
      </w:pPr>
      <w:r>
        <w:t xml:space="preserve">Even where the recipient, such as the municipality, does not have budgetary authority over a school district, it may choose to </w:t>
      </w:r>
      <w:r w:rsidR="00DD0AC8">
        <w:t>transfer</w:t>
      </w:r>
      <w:r>
        <w:t xml:space="preserve"> SLFRF funds to districts and other government entities for these purpose. </w:t>
      </w:r>
      <w:r w:rsidR="00DD0AC8" w:rsidRPr="007D09B9">
        <w:rPr>
          <w:u w:val="single"/>
        </w:rPr>
        <w:t xml:space="preserve">For additional information, </w:t>
      </w:r>
      <w:r w:rsidR="00DD0AC8" w:rsidRPr="007D09B9">
        <w:rPr>
          <w:rFonts w:cstheme="minorHAnsi"/>
          <w:u w:val="single"/>
        </w:rPr>
        <w:t>j</w:t>
      </w:r>
      <w:r w:rsidR="00DD0AC8" w:rsidRPr="00BC36A4">
        <w:rPr>
          <w:rFonts w:cstheme="minorHAnsi"/>
          <w:u w:val="single"/>
        </w:rPr>
        <w:t xml:space="preserve">urisdictions can review FAQ 2.17 on page 13 of </w:t>
      </w:r>
      <w:hyperlink r:id="rId13" w:history="1">
        <w:r w:rsidR="00DD0AC8" w:rsidRPr="00BC36A4">
          <w:rPr>
            <w:rStyle w:val="Hyperlink"/>
            <w:rFonts w:cstheme="minorHAnsi"/>
          </w:rPr>
          <w:t>Treasury’s FAQ on the Final Rule.</w:t>
        </w:r>
      </w:hyperlink>
    </w:p>
    <w:p w14:paraId="2B260879" w14:textId="77777777" w:rsidR="002E309F" w:rsidRPr="008D7E03" w:rsidRDefault="002E309F" w:rsidP="00F46D97">
      <w:pPr>
        <w:spacing w:after="0"/>
        <w:rPr>
          <w:rFonts w:cstheme="minorHAnsi"/>
        </w:rPr>
      </w:pPr>
      <w:r w:rsidRPr="008D7E03">
        <w:rPr>
          <w:rFonts w:cstheme="minorHAnsi"/>
        </w:rPr>
        <w:t> </w:t>
      </w:r>
    </w:p>
    <w:p w14:paraId="6D1FE032" w14:textId="0B02B233" w:rsidR="002E309F" w:rsidRPr="008D7E03" w:rsidRDefault="002E309F" w:rsidP="00F46D97">
      <w:pPr>
        <w:spacing w:after="0"/>
        <w:rPr>
          <w:rFonts w:cstheme="minorHAnsi"/>
          <w:u w:val="single"/>
        </w:rPr>
      </w:pPr>
      <w:r w:rsidRPr="008D7E03">
        <w:rPr>
          <w:rFonts w:cstheme="minorHAnsi"/>
          <w:u w:val="single"/>
        </w:rPr>
        <w:t xml:space="preserve">As there are many different funding structures for K-12 education across the country, Treasury </w:t>
      </w:r>
      <w:r w:rsidR="2E9A75E1" w:rsidRPr="418CC0DF">
        <w:rPr>
          <w:u w:val="single"/>
        </w:rPr>
        <w:t>welcomes the opportunity</w:t>
      </w:r>
      <w:r w:rsidRPr="008D7E03">
        <w:rPr>
          <w:rFonts w:cstheme="minorHAnsi"/>
          <w:u w:val="single"/>
        </w:rPr>
        <w:t xml:space="preserve"> to </w:t>
      </w:r>
      <w:r w:rsidR="00FF3571">
        <w:rPr>
          <w:rFonts w:cstheme="minorHAnsi"/>
          <w:u w:val="single"/>
        </w:rPr>
        <w:t>engage</w:t>
      </w:r>
      <w:r w:rsidR="00FF3571" w:rsidRPr="008D7E03">
        <w:rPr>
          <w:rFonts w:cstheme="minorHAnsi"/>
          <w:u w:val="single"/>
        </w:rPr>
        <w:t xml:space="preserve"> </w:t>
      </w:r>
      <w:r w:rsidRPr="008D7E03">
        <w:rPr>
          <w:rFonts w:cstheme="minorHAnsi"/>
          <w:u w:val="single"/>
        </w:rPr>
        <w:t xml:space="preserve">with jurisdictions seeking to deploy their funds for this critical eligible use, </w:t>
      </w:r>
      <w:r w:rsidR="00FF3571">
        <w:rPr>
          <w:rFonts w:cstheme="minorHAnsi"/>
          <w:u w:val="single"/>
        </w:rPr>
        <w:t xml:space="preserve">as </w:t>
      </w:r>
      <w:r w:rsidR="00715BA4">
        <w:rPr>
          <w:rFonts w:cstheme="minorHAnsi"/>
          <w:u w:val="single"/>
        </w:rPr>
        <w:t xml:space="preserve">they work </w:t>
      </w:r>
      <w:r w:rsidRPr="008D7E03">
        <w:rPr>
          <w:rFonts w:cstheme="minorHAnsi"/>
          <w:u w:val="single"/>
        </w:rPr>
        <w:t xml:space="preserve">to ensure that their program is robust and compliant. </w:t>
      </w:r>
    </w:p>
    <w:p w14:paraId="7AE8E0FC" w14:textId="77777777" w:rsidR="002E309F" w:rsidRPr="008D7E03" w:rsidRDefault="002E309F" w:rsidP="00F46D97">
      <w:pPr>
        <w:spacing w:after="0"/>
        <w:rPr>
          <w:rFonts w:cstheme="minorHAnsi"/>
        </w:rPr>
      </w:pPr>
      <w:r w:rsidRPr="008D7E03">
        <w:rPr>
          <w:rFonts w:cstheme="minorHAnsi"/>
          <w:i/>
          <w:iCs/>
        </w:rPr>
        <w:t> </w:t>
      </w:r>
    </w:p>
    <w:p w14:paraId="149EC4AC" w14:textId="6F6BE320" w:rsidR="002E309F" w:rsidRPr="008D7E03" w:rsidRDefault="00011E07" w:rsidP="00F46D97">
      <w:pPr>
        <w:spacing w:after="0"/>
        <w:rPr>
          <w:rFonts w:cstheme="minorHAnsi"/>
        </w:rPr>
      </w:pPr>
      <w:r>
        <w:rPr>
          <w:rFonts w:cstheme="minorHAnsi"/>
          <w:b/>
          <w:bCs/>
          <w:i/>
          <w:iCs/>
        </w:rPr>
        <w:t xml:space="preserve">Additionally, </w:t>
      </w:r>
      <w:r w:rsidR="002E309F" w:rsidRPr="008D7E03">
        <w:rPr>
          <w:rFonts w:cstheme="minorHAnsi"/>
          <w:b/>
          <w:bCs/>
          <w:i/>
          <w:iCs/>
        </w:rPr>
        <w:t>SLFRF can fund premium pay for essential workers, including school personnel and childcare providers in both the public and private sector, to compensate them for their service during the pandemic</w:t>
      </w:r>
      <w:r w:rsidR="008D7E03" w:rsidRPr="008D7E03">
        <w:rPr>
          <w:rFonts w:cstheme="minorHAnsi"/>
          <w:b/>
          <w:bCs/>
          <w:i/>
          <w:iCs/>
        </w:rPr>
        <w:t>:</w:t>
      </w:r>
      <w:r>
        <w:rPr>
          <w:rFonts w:cstheme="minorHAnsi"/>
        </w:rPr>
        <w:t xml:space="preserve"> </w:t>
      </w:r>
      <w:r w:rsidR="002E309F" w:rsidRPr="008D7E03">
        <w:rPr>
          <w:rFonts w:cstheme="minorHAnsi"/>
        </w:rPr>
        <w:t xml:space="preserve">SLFRF may be used to provide premium pay to eligible workers performing essential, in-person work during the pandemic. Premium pay may be awarded to eligible workers up to </w:t>
      </w:r>
      <w:r w:rsidR="003F26CA">
        <w:rPr>
          <w:rFonts w:cstheme="minorHAnsi"/>
        </w:rPr>
        <w:t xml:space="preserve">an additional </w:t>
      </w:r>
      <w:r w:rsidR="002E309F" w:rsidRPr="008D7E03">
        <w:rPr>
          <w:rFonts w:cstheme="minorHAnsi"/>
        </w:rPr>
        <w:t>$13 per hour. Premium pay must be in addition to wages or remuneration (i.e., compensation) the eligible worker otherwise receives. Premium pay may not exceed $25,000 for any single worker during the program. Childcare and school staff working in</w:t>
      </w:r>
      <w:r w:rsidR="2E9A75E1" w:rsidRPr="418CC0DF">
        <w:t>-</w:t>
      </w:r>
      <w:r w:rsidR="002E309F" w:rsidRPr="008D7E03">
        <w:rPr>
          <w:rFonts w:cstheme="minorHAnsi"/>
        </w:rPr>
        <w:t xml:space="preserve">person during the pandemic are likely to be eligible. </w:t>
      </w:r>
      <w:r w:rsidR="00DC4007">
        <w:rPr>
          <w:rFonts w:cstheme="minorHAnsi"/>
          <w:u w:val="single"/>
        </w:rPr>
        <w:t xml:space="preserve">Jurisdictions can find additional information starting on page 35 of </w:t>
      </w:r>
      <w:hyperlink r:id="rId14" w:history="1">
        <w:r w:rsidR="00DC4007" w:rsidRPr="00D3773C">
          <w:rPr>
            <w:rStyle w:val="Hyperlink"/>
            <w:rFonts w:cstheme="minorHAnsi"/>
          </w:rPr>
          <w:t xml:space="preserve">Treasury’s </w:t>
        </w:r>
        <w:r w:rsidR="00DC4007">
          <w:rPr>
            <w:rStyle w:val="Hyperlink"/>
            <w:rFonts w:cstheme="minorHAnsi"/>
          </w:rPr>
          <w:t>Overview of</w:t>
        </w:r>
        <w:r w:rsidR="00DC4007" w:rsidRPr="00D3773C">
          <w:rPr>
            <w:rStyle w:val="Hyperlink"/>
            <w:rFonts w:cstheme="minorHAnsi"/>
          </w:rPr>
          <w:t xml:space="preserve"> the Final Rule.</w:t>
        </w:r>
      </w:hyperlink>
    </w:p>
    <w:p w14:paraId="29EBAE30" w14:textId="0D6C6A30" w:rsidR="002E309F" w:rsidRDefault="002E309F" w:rsidP="00F46D97">
      <w:pPr>
        <w:spacing w:after="0"/>
        <w:rPr>
          <w:rFonts w:cstheme="minorHAnsi"/>
        </w:rPr>
      </w:pPr>
      <w:r w:rsidRPr="008D7E03">
        <w:rPr>
          <w:rFonts w:cstheme="minorHAnsi"/>
        </w:rPr>
        <w:t> </w:t>
      </w:r>
    </w:p>
    <w:p w14:paraId="18D3A55C" w14:textId="77777777" w:rsidR="008B3A5A" w:rsidRPr="00667470" w:rsidRDefault="008B3A5A" w:rsidP="008B3A5A">
      <w:pPr>
        <w:spacing w:after="0"/>
        <w:rPr>
          <w:rFonts w:cstheme="minorHAnsi"/>
          <w:u w:val="single"/>
        </w:rPr>
      </w:pPr>
      <w:r w:rsidRPr="00667470">
        <w:rPr>
          <w:rFonts w:cstheme="minorHAnsi"/>
          <w:u w:val="single"/>
        </w:rPr>
        <w:t>Examples:</w:t>
      </w:r>
    </w:p>
    <w:p w14:paraId="54660C1C" w14:textId="1AF7268F" w:rsidR="008B3A5A" w:rsidRPr="00667470" w:rsidRDefault="008B3A5A">
      <w:pPr>
        <w:pStyle w:val="ListParagraph"/>
        <w:numPr>
          <w:ilvl w:val="0"/>
          <w:numId w:val="6"/>
        </w:numPr>
      </w:pPr>
      <w:r w:rsidRPr="00667470">
        <w:rPr>
          <w:b/>
          <w:bCs/>
        </w:rPr>
        <w:t>North Carolina</w:t>
      </w:r>
      <w:r>
        <w:t xml:space="preserve"> is using SLFRF, ARP ESSER, and other sources of funding to provide bonuses to all school employees, including teachers, principals and staff. </w:t>
      </w:r>
    </w:p>
    <w:p w14:paraId="76E609D9" w14:textId="017B169D" w:rsidR="008B3A5A" w:rsidRDefault="008B3A5A">
      <w:pPr>
        <w:pStyle w:val="ListParagraph"/>
        <w:numPr>
          <w:ilvl w:val="0"/>
          <w:numId w:val="6"/>
        </w:numPr>
      </w:pPr>
      <w:r w:rsidRPr="00667470">
        <w:rPr>
          <w:b/>
          <w:bCs/>
        </w:rPr>
        <w:t xml:space="preserve">Howard County, </w:t>
      </w:r>
      <w:r>
        <w:rPr>
          <w:b/>
          <w:bCs/>
        </w:rPr>
        <w:t>Maryland</w:t>
      </w:r>
      <w:r>
        <w:t xml:space="preserve"> has </w:t>
      </w:r>
      <w:r w:rsidR="00604A4A">
        <w:t xml:space="preserve">announced it is </w:t>
      </w:r>
      <w:r w:rsidRPr="008B3A5A">
        <w:t>committ</w:t>
      </w:r>
      <w:r w:rsidR="00604A4A">
        <w:t>ing</w:t>
      </w:r>
      <w:r w:rsidRPr="008B3A5A">
        <w:t xml:space="preserve"> $</w:t>
      </w:r>
      <w:r>
        <w:t>10</w:t>
      </w:r>
      <w:r w:rsidRPr="008B3A5A">
        <w:t xml:space="preserve"> million in </w:t>
      </w:r>
      <w:r>
        <w:t xml:space="preserve">SLFRF – in conjunction with Howard County Public School System </w:t>
      </w:r>
      <w:r w:rsidR="73136A65">
        <w:t xml:space="preserve">(HCPSS) </w:t>
      </w:r>
      <w:r>
        <w:t xml:space="preserve">investments of ARP ESSER funds – </w:t>
      </w:r>
      <w:r w:rsidRPr="008B3A5A">
        <w:t xml:space="preserve">to </w:t>
      </w:r>
      <w:r>
        <w:t xml:space="preserve">help </w:t>
      </w:r>
      <w:r w:rsidRPr="008B3A5A">
        <w:t>provide $1,800 bonuses to HCPSS educators and staff</w:t>
      </w:r>
      <w:r>
        <w:t xml:space="preserve">, </w:t>
      </w:r>
      <w:r w:rsidR="00BC36A4">
        <w:t xml:space="preserve">as well as </w:t>
      </w:r>
      <w:r w:rsidRPr="008B3A5A">
        <w:t>retention bonuses for bus drivers</w:t>
      </w:r>
      <w:r>
        <w:t>, and incentives for newly hired drivers.</w:t>
      </w:r>
    </w:p>
    <w:p w14:paraId="7B1CC402" w14:textId="75F0194A" w:rsidR="006373D7" w:rsidRPr="006373D7" w:rsidRDefault="006373D7" w:rsidP="006373D7">
      <w:pPr>
        <w:pStyle w:val="ListParagraph"/>
        <w:numPr>
          <w:ilvl w:val="0"/>
          <w:numId w:val="6"/>
        </w:numPr>
      </w:pPr>
      <w:r w:rsidRPr="00667470">
        <w:rPr>
          <w:b/>
          <w:bCs/>
        </w:rPr>
        <w:t>Seattle, Washington</w:t>
      </w:r>
      <w:r w:rsidRPr="006373D7">
        <w:t xml:space="preserve"> has committed $3 million to offer all licensed home- and center-based childcare centers the ability to apply for funds to provide a one-time</w:t>
      </w:r>
      <w:r>
        <w:t xml:space="preserve"> bonus</w:t>
      </w:r>
      <w:r w:rsidRPr="006373D7">
        <w:t xml:space="preserve"> for their childcare workers.</w:t>
      </w:r>
    </w:p>
    <w:p w14:paraId="03283DB4" w14:textId="77777777" w:rsidR="006373D7" w:rsidRPr="008B3A5A" w:rsidRDefault="006373D7" w:rsidP="00667470">
      <w:pPr>
        <w:pStyle w:val="ListParagraph"/>
      </w:pPr>
    </w:p>
    <w:p w14:paraId="27937CB5" w14:textId="77777777" w:rsidR="00604A4A" w:rsidRDefault="00604A4A" w:rsidP="00604A4A">
      <w:pPr>
        <w:pStyle w:val="Heading2"/>
        <w:numPr>
          <w:ilvl w:val="0"/>
          <w:numId w:val="3"/>
        </w:numPr>
      </w:pPr>
      <w:r>
        <w:rPr>
          <w:rStyle w:val="Heading3Char"/>
          <w:b/>
        </w:rPr>
        <w:t>Strengthening Worker Pipelines into Education</w:t>
      </w:r>
    </w:p>
    <w:p w14:paraId="6023F029" w14:textId="77777777" w:rsidR="00604A4A" w:rsidRPr="008D7E03" w:rsidRDefault="00604A4A" w:rsidP="00604A4A">
      <w:pPr>
        <w:spacing w:after="0"/>
        <w:rPr>
          <w:rFonts w:cstheme="minorHAnsi"/>
        </w:rPr>
      </w:pPr>
    </w:p>
    <w:p w14:paraId="5DC14EE0" w14:textId="77777777" w:rsidR="00604A4A" w:rsidRPr="008D7E03" w:rsidRDefault="00604A4A" w:rsidP="00604A4A">
      <w:pPr>
        <w:spacing w:after="0"/>
        <w:rPr>
          <w:rFonts w:cstheme="minorHAnsi"/>
        </w:rPr>
      </w:pPr>
      <w:r w:rsidRPr="008D7E03">
        <w:rPr>
          <w:rFonts w:cstheme="minorHAnsi"/>
          <w:b/>
          <w:bCs/>
          <w:i/>
          <w:iCs/>
        </w:rPr>
        <w:lastRenderedPageBreak/>
        <w:t xml:space="preserve">SLFRF can fund supports for unemployed and underemployed workers, including hiring bonuses, </w:t>
      </w:r>
      <w:r w:rsidR="00902209">
        <w:rPr>
          <w:rFonts w:cstheme="minorHAnsi"/>
          <w:b/>
          <w:bCs/>
          <w:i/>
          <w:iCs/>
        </w:rPr>
        <w:t>preparation and</w:t>
      </w:r>
      <w:r w:rsidR="001831FE">
        <w:rPr>
          <w:rFonts w:cstheme="minorHAnsi"/>
          <w:b/>
          <w:bCs/>
          <w:i/>
          <w:iCs/>
        </w:rPr>
        <w:t xml:space="preserve"> </w:t>
      </w:r>
      <w:r w:rsidRPr="008D7E03">
        <w:rPr>
          <w:rFonts w:cstheme="minorHAnsi"/>
          <w:b/>
          <w:bCs/>
          <w:i/>
          <w:iCs/>
        </w:rPr>
        <w:t>training, and other labor supports, regardless of sector:</w:t>
      </w:r>
    </w:p>
    <w:p w14:paraId="5BFBDC7D" w14:textId="4A22DB29" w:rsidR="00604A4A" w:rsidRDefault="00604A4A" w:rsidP="00604A4A">
      <w:pPr>
        <w:spacing w:after="0"/>
        <w:rPr>
          <w:rFonts w:cstheme="minorHAnsi"/>
        </w:rPr>
      </w:pPr>
      <w:r w:rsidRPr="008D7E03">
        <w:rPr>
          <w:rFonts w:cstheme="minorHAnsi"/>
        </w:rPr>
        <w:t xml:space="preserve">Because of the severe impact that the pandemic has had on the labor market broadly, SLFRF can be used for assistance to workers who have experienced unemployment or underemployment during the pandemic including </w:t>
      </w:r>
      <w:r>
        <w:rPr>
          <w:rFonts w:cstheme="minorHAnsi"/>
        </w:rPr>
        <w:t xml:space="preserve">through </w:t>
      </w:r>
      <w:r w:rsidRPr="008D7E03">
        <w:rPr>
          <w:rFonts w:cstheme="minorHAnsi"/>
        </w:rPr>
        <w:t>job training, public jobs programs and fairs, support for childcare and transportation to and from a jobsite or interview, incentives for newly-employed workers, subsidized employment, grants to hire underserved workers, assistance to unemployed individuals to start small businesses, and development of job and workforce training centers</w:t>
      </w:r>
      <w:r>
        <w:rPr>
          <w:rFonts w:cstheme="minorHAnsi"/>
        </w:rPr>
        <w:t xml:space="preserve"> that are reasonably proportional to addressing the pandemic’s impacts</w:t>
      </w:r>
      <w:r w:rsidRPr="008D7E03">
        <w:rPr>
          <w:rFonts w:cstheme="minorHAnsi"/>
        </w:rPr>
        <w:t>.</w:t>
      </w:r>
      <w:r w:rsidR="005E40CF">
        <w:rPr>
          <w:rFonts w:cstheme="minorHAnsi"/>
        </w:rPr>
        <w:t xml:space="preserve"> </w:t>
      </w:r>
    </w:p>
    <w:p w14:paraId="68467D93" w14:textId="77777777" w:rsidR="00604A4A" w:rsidRPr="00272C4E" w:rsidRDefault="00604A4A" w:rsidP="00604A4A">
      <w:pPr>
        <w:spacing w:after="0"/>
        <w:rPr>
          <w:rFonts w:cstheme="minorHAnsi"/>
        </w:rPr>
      </w:pPr>
    </w:p>
    <w:p w14:paraId="734C6C42" w14:textId="363E9A06" w:rsidR="00604A4A" w:rsidRPr="00163BAF" w:rsidRDefault="00604A4A" w:rsidP="00604A4A">
      <w:pPr>
        <w:spacing w:after="0"/>
        <w:rPr>
          <w:color w:val="FF0000"/>
        </w:rPr>
      </w:pPr>
      <w:r>
        <w:t>Specifically, recipients can help childcare providers and school districts by strengthening pipelines into these sectors, including by using SLFRF funds to train potential workers to fill in-demand roles in childcare and education, including as school bus drivers, school nutrition staff, paraprofessionals, and other staff.</w:t>
      </w:r>
    </w:p>
    <w:p w14:paraId="1AA7A1C3" w14:textId="2BF5778E" w:rsidR="00892FC8" w:rsidRDefault="00892FC8" w:rsidP="00604A4A">
      <w:pPr>
        <w:spacing w:after="0"/>
      </w:pPr>
    </w:p>
    <w:p w14:paraId="02F84188" w14:textId="6A1F2E78" w:rsidR="00892FC8" w:rsidRPr="008D7E03" w:rsidRDefault="00892FC8" w:rsidP="00604A4A">
      <w:pPr>
        <w:spacing w:after="0"/>
        <w:rPr>
          <w:rFonts w:cstheme="minorHAnsi"/>
          <w:color w:val="FF0000"/>
        </w:rPr>
      </w:pPr>
      <w:r>
        <w:rPr>
          <w:rFonts w:cstheme="minorHAnsi"/>
          <w:u w:val="single"/>
        </w:rPr>
        <w:t xml:space="preserve">Jurisdictions can review </w:t>
      </w:r>
      <w:r w:rsidR="00C51AB8">
        <w:rPr>
          <w:rFonts w:cstheme="minorHAnsi"/>
          <w:u w:val="single"/>
        </w:rPr>
        <w:t>FAQ 2.16</w:t>
      </w:r>
      <w:r>
        <w:rPr>
          <w:rFonts w:cstheme="minorHAnsi"/>
          <w:u w:val="single"/>
        </w:rPr>
        <w:t xml:space="preserve"> on page 12 of </w:t>
      </w:r>
      <w:hyperlink r:id="rId15" w:history="1">
        <w:r w:rsidRPr="00D3773C">
          <w:rPr>
            <w:rStyle w:val="Hyperlink"/>
            <w:rFonts w:cstheme="minorHAnsi"/>
          </w:rPr>
          <w:t>Treasury’s FAQ on the Final Rule.</w:t>
        </w:r>
      </w:hyperlink>
    </w:p>
    <w:p w14:paraId="55E2037B" w14:textId="77777777" w:rsidR="00604A4A" w:rsidRPr="00272C4E" w:rsidRDefault="00604A4A" w:rsidP="00604A4A">
      <w:pPr>
        <w:spacing w:after="0"/>
        <w:rPr>
          <w:rStyle w:val="normaltextrun"/>
          <w:rFonts w:eastAsiaTheme="majorEastAsia" w:cstheme="minorHAnsi"/>
          <w:b/>
        </w:rPr>
      </w:pPr>
    </w:p>
    <w:p w14:paraId="5AAC67EA" w14:textId="77777777" w:rsidR="00604A4A" w:rsidRPr="00272C4E" w:rsidRDefault="00604A4A" w:rsidP="00604A4A">
      <w:pPr>
        <w:spacing w:after="0"/>
        <w:rPr>
          <w:rStyle w:val="normaltextrun"/>
          <w:rFonts w:eastAsiaTheme="majorEastAsia" w:cstheme="minorHAnsi"/>
          <w:bCs/>
        </w:rPr>
      </w:pPr>
      <w:r w:rsidRPr="00272C4E">
        <w:rPr>
          <w:rStyle w:val="normaltextrun"/>
          <w:rFonts w:eastAsiaTheme="majorEastAsia" w:cstheme="minorHAnsi"/>
          <w:bCs/>
          <w:u w:val="single"/>
        </w:rPr>
        <w:t>Example:</w:t>
      </w:r>
    </w:p>
    <w:p w14:paraId="231B5ADE" w14:textId="0B66C660" w:rsidR="00604A4A" w:rsidRPr="00272C4E" w:rsidRDefault="00604A4A" w:rsidP="00604A4A">
      <w:pPr>
        <w:pStyle w:val="ListParagraph"/>
        <w:numPr>
          <w:ilvl w:val="0"/>
          <w:numId w:val="6"/>
        </w:numPr>
        <w:rPr>
          <w:rStyle w:val="normaltextrun"/>
          <w:rFonts w:eastAsiaTheme="majorEastAsia"/>
          <w:bCs/>
        </w:rPr>
      </w:pPr>
      <w:r w:rsidRPr="00272C4E">
        <w:rPr>
          <w:rStyle w:val="normaltextrun"/>
          <w:rFonts w:eastAsiaTheme="majorEastAsia"/>
          <w:b/>
        </w:rPr>
        <w:t xml:space="preserve">Deschutes County, Oregon </w:t>
      </w:r>
      <w:r w:rsidRPr="00667470">
        <w:rPr>
          <w:rStyle w:val="normaltextrun"/>
          <w:rFonts w:eastAsiaTheme="majorEastAsia"/>
          <w:bCs/>
        </w:rPr>
        <w:t>has announced it</w:t>
      </w:r>
      <w:r>
        <w:rPr>
          <w:rStyle w:val="normaltextrun"/>
          <w:rFonts w:eastAsiaTheme="majorEastAsia"/>
          <w:b/>
        </w:rPr>
        <w:t xml:space="preserve"> </w:t>
      </w:r>
      <w:r w:rsidRPr="00272C4E">
        <w:rPr>
          <w:rStyle w:val="normaltextrun"/>
          <w:rFonts w:eastAsiaTheme="majorEastAsia"/>
          <w:bCs/>
        </w:rPr>
        <w:t>is investing $3.</w:t>
      </w:r>
      <w:r>
        <w:rPr>
          <w:rStyle w:val="normaltextrun"/>
          <w:rFonts w:eastAsiaTheme="majorEastAsia"/>
          <w:bCs/>
        </w:rPr>
        <w:t>1</w:t>
      </w:r>
      <w:r w:rsidRPr="00272C4E">
        <w:rPr>
          <w:rStyle w:val="normaltextrun"/>
          <w:rFonts w:eastAsiaTheme="majorEastAsia"/>
          <w:bCs/>
        </w:rPr>
        <w:t xml:space="preserve"> million in SLFRF funding to train more than 275 new workers in the childcare and early education fields. </w:t>
      </w:r>
    </w:p>
    <w:p w14:paraId="1A07F055" w14:textId="77777777" w:rsidR="008B3A5A" w:rsidRPr="008D7E03" w:rsidRDefault="008B3A5A" w:rsidP="00F46D97">
      <w:pPr>
        <w:spacing w:after="0"/>
        <w:rPr>
          <w:rFonts w:cstheme="minorHAnsi"/>
        </w:rPr>
      </w:pPr>
    </w:p>
    <w:p w14:paraId="518627A6" w14:textId="49469C98" w:rsidR="008D7E03" w:rsidRDefault="008678AC" w:rsidP="008D7E03">
      <w:pPr>
        <w:pStyle w:val="Heading2"/>
        <w:numPr>
          <w:ilvl w:val="0"/>
          <w:numId w:val="3"/>
        </w:numPr>
      </w:pPr>
      <w:r>
        <w:rPr>
          <w:rStyle w:val="Heading3Char"/>
          <w:b/>
        </w:rPr>
        <w:t>Services</w:t>
      </w:r>
      <w:r w:rsidR="00604A4A">
        <w:rPr>
          <w:rStyle w:val="Heading3Char"/>
          <w:b/>
        </w:rPr>
        <w:t xml:space="preserve"> and Hiring</w:t>
      </w:r>
      <w:r>
        <w:rPr>
          <w:rStyle w:val="Heading3Char"/>
          <w:b/>
        </w:rPr>
        <w:t xml:space="preserve"> for Children’s Learning and Wellbeing</w:t>
      </w:r>
    </w:p>
    <w:p w14:paraId="22ABFEB2" w14:textId="77777777" w:rsidR="008D7E03" w:rsidRPr="008D7E03" w:rsidRDefault="008D7E03" w:rsidP="00F46D97">
      <w:pPr>
        <w:spacing w:after="0"/>
        <w:rPr>
          <w:rFonts w:cstheme="minorHAnsi"/>
        </w:rPr>
      </w:pPr>
    </w:p>
    <w:p w14:paraId="3B56C204" w14:textId="6364A7F4" w:rsidR="002E309F" w:rsidRPr="008D7E03" w:rsidRDefault="002E309F" w:rsidP="00F46D97">
      <w:pPr>
        <w:spacing w:after="0"/>
        <w:rPr>
          <w:rFonts w:cstheme="minorHAnsi"/>
        </w:rPr>
      </w:pPr>
      <w:r w:rsidRPr="008D7E03">
        <w:rPr>
          <w:rFonts w:cstheme="minorHAnsi"/>
          <w:b/>
          <w:bCs/>
          <w:i/>
          <w:iCs/>
        </w:rPr>
        <w:t>SLFRF can fund a number of services for children that are directly responsive to the impact</w:t>
      </w:r>
      <w:r w:rsidR="00761ED3">
        <w:rPr>
          <w:rFonts w:cstheme="minorHAnsi"/>
          <w:b/>
          <w:bCs/>
          <w:i/>
          <w:iCs/>
        </w:rPr>
        <w:t xml:space="preserve"> </w:t>
      </w:r>
      <w:r w:rsidRPr="008D7E03">
        <w:rPr>
          <w:rFonts w:cstheme="minorHAnsi"/>
          <w:b/>
          <w:bCs/>
          <w:i/>
          <w:iCs/>
        </w:rPr>
        <w:t>of the pandemic on children’s learning and wellbeing</w:t>
      </w:r>
      <w:r w:rsidR="008D7E03" w:rsidRPr="008D7E03">
        <w:rPr>
          <w:rFonts w:cstheme="minorHAnsi"/>
          <w:b/>
          <w:bCs/>
          <w:i/>
          <w:iCs/>
        </w:rPr>
        <w:t>:</w:t>
      </w:r>
    </w:p>
    <w:p w14:paraId="0A5DD4A5" w14:textId="7212FA75" w:rsidR="002E309F" w:rsidRDefault="00CD03C5" w:rsidP="00F46D97">
      <w:pPr>
        <w:spacing w:after="0"/>
        <w:rPr>
          <w:rFonts w:cstheme="minorHAnsi"/>
        </w:rPr>
      </w:pPr>
      <w:r>
        <w:rPr>
          <w:rFonts w:cstheme="minorHAnsi"/>
        </w:rPr>
        <w:t xml:space="preserve">As part of a response to the impacts of the pandemic on households and communities, </w:t>
      </w:r>
      <w:r w:rsidR="002E309F" w:rsidRPr="008D7E03">
        <w:rPr>
          <w:rFonts w:cstheme="minorHAnsi"/>
        </w:rPr>
        <w:t xml:space="preserve">SLFRF can fund </w:t>
      </w:r>
      <w:r w:rsidR="000F4796">
        <w:rPr>
          <w:rFonts w:cstheme="minorHAnsi"/>
        </w:rPr>
        <w:t>a</w:t>
      </w:r>
      <w:r w:rsidR="002E309F" w:rsidRPr="008D7E03">
        <w:rPr>
          <w:rFonts w:cstheme="minorHAnsi"/>
        </w:rPr>
        <w:t xml:space="preserve">ssistance to address the impact of </w:t>
      </w:r>
      <w:r w:rsidR="2E9A75E1" w:rsidRPr="418CC0DF">
        <w:t xml:space="preserve">lost </w:t>
      </w:r>
      <w:r w:rsidR="002E309F" w:rsidRPr="008D7E03">
        <w:rPr>
          <w:rFonts w:cstheme="minorHAnsi"/>
        </w:rPr>
        <w:t xml:space="preserve">learning </w:t>
      </w:r>
      <w:r w:rsidR="2E9A75E1" w:rsidRPr="418CC0DF">
        <w:t>time</w:t>
      </w:r>
      <w:r w:rsidR="002E309F" w:rsidRPr="008D7E03">
        <w:rPr>
          <w:rFonts w:cstheme="minorHAnsi"/>
        </w:rPr>
        <w:t xml:space="preserve"> for K-12 students (including programs to provide high-quality tutoring and </w:t>
      </w:r>
      <w:r w:rsidR="00644D31">
        <w:rPr>
          <w:rFonts w:cstheme="minorHAnsi"/>
        </w:rPr>
        <w:t>personalized learning</w:t>
      </w:r>
      <w:r w:rsidR="00534B1D">
        <w:rPr>
          <w:rFonts w:cstheme="minorHAnsi"/>
        </w:rPr>
        <w:t>)</w:t>
      </w:r>
      <w:r w:rsidR="002E309F" w:rsidRPr="008D7E03">
        <w:rPr>
          <w:rFonts w:cstheme="minorHAnsi"/>
        </w:rPr>
        <w:t xml:space="preserve">, childcare and early learning services, home visiting programs, services for child welfare-involved families and </w:t>
      </w:r>
      <w:r w:rsidR="2E9A75E1" w:rsidRPr="418CC0DF">
        <w:t>children and</w:t>
      </w:r>
      <w:r w:rsidR="002E309F" w:rsidRPr="008D7E03">
        <w:rPr>
          <w:rFonts w:cstheme="minorHAnsi"/>
        </w:rPr>
        <w:t xml:space="preserve"> youth</w:t>
      </w:r>
      <w:r w:rsidR="2E9A75E1" w:rsidRPr="418CC0DF">
        <w:t xml:space="preserve"> in foster care</w:t>
      </w:r>
      <w:r w:rsidR="79C46483" w:rsidRPr="418CC0DF">
        <w:t>.</w:t>
      </w:r>
      <w:r w:rsidR="00D3661E">
        <w:rPr>
          <w:rFonts w:cstheme="minorHAnsi"/>
        </w:rPr>
        <w:t xml:space="preserve"> SLFRF can also address public health impacts of the pandemic, including its impact on mental health</w:t>
      </w:r>
      <w:r w:rsidR="001C28BB">
        <w:rPr>
          <w:rFonts w:cstheme="minorHAnsi"/>
        </w:rPr>
        <w:t>.</w:t>
      </w:r>
      <w:r w:rsidR="00961FBA">
        <w:rPr>
          <w:rFonts w:cstheme="minorHAnsi"/>
        </w:rPr>
        <w:t xml:space="preserve"> </w:t>
      </w:r>
      <w:r w:rsidR="001C28BB">
        <w:rPr>
          <w:rFonts w:cstheme="minorHAnsi"/>
        </w:rPr>
        <w:t>E</w:t>
      </w:r>
      <w:r w:rsidR="00D3661E">
        <w:rPr>
          <w:rFonts w:cstheme="minorHAnsi"/>
        </w:rPr>
        <w:t>ligible uses of funds to respond include</w:t>
      </w:r>
      <w:r w:rsidR="002E309F" w:rsidRPr="008D7E03">
        <w:rPr>
          <w:rFonts w:cstheme="minorHAnsi"/>
        </w:rPr>
        <w:t xml:space="preserve"> enhanced behavioral health services in school</w:t>
      </w:r>
      <w:r w:rsidR="00D3661E">
        <w:rPr>
          <w:rFonts w:cstheme="minorHAnsi"/>
        </w:rPr>
        <w:t>s as well as a broad range of prevention, treatment, and recovery services for behavioral health</w:t>
      </w:r>
      <w:r w:rsidR="002E309F" w:rsidRPr="008D7E03">
        <w:rPr>
          <w:rFonts w:cstheme="minorHAnsi"/>
        </w:rPr>
        <w:t xml:space="preserve">. </w:t>
      </w:r>
      <w:r w:rsidR="00D3661E">
        <w:rPr>
          <w:rFonts w:cstheme="minorHAnsi"/>
        </w:rPr>
        <w:t xml:space="preserve">Finally, </w:t>
      </w:r>
      <w:r w:rsidR="002E309F" w:rsidRPr="008D7E03">
        <w:rPr>
          <w:rFonts w:cstheme="minorHAnsi"/>
        </w:rPr>
        <w:t>SLFRF can also fund COVID mitigation and response in schools and childcare</w:t>
      </w:r>
      <w:r w:rsidR="008A5674">
        <w:rPr>
          <w:rFonts w:cstheme="minorHAnsi"/>
        </w:rPr>
        <w:t xml:space="preserve"> programs</w:t>
      </w:r>
      <w:r w:rsidR="002E309F" w:rsidRPr="008D7E03">
        <w:rPr>
          <w:rFonts w:cstheme="minorHAnsi"/>
        </w:rPr>
        <w:t>.</w:t>
      </w:r>
    </w:p>
    <w:p w14:paraId="1EEB06A2" w14:textId="396A3631" w:rsidR="006E39EF" w:rsidRDefault="006E39EF" w:rsidP="00F46D97">
      <w:pPr>
        <w:spacing w:after="0"/>
        <w:rPr>
          <w:rFonts w:cstheme="minorHAnsi"/>
        </w:rPr>
      </w:pPr>
    </w:p>
    <w:p w14:paraId="3AADB843" w14:textId="69DE87B4" w:rsidR="006E39EF" w:rsidRPr="008D7E03" w:rsidRDefault="006E39EF" w:rsidP="00F46D97">
      <w:pPr>
        <w:spacing w:after="0"/>
        <w:rPr>
          <w:rFonts w:cstheme="minorHAnsi"/>
        </w:rPr>
      </w:pPr>
      <w:r>
        <w:rPr>
          <w:rFonts w:cstheme="minorHAnsi"/>
          <w:u w:val="single"/>
        </w:rPr>
        <w:t xml:space="preserve">Jurisdictions can find additional information starting on pages 14 and 17 of </w:t>
      </w:r>
      <w:hyperlink r:id="rId16" w:history="1">
        <w:r w:rsidRPr="00D3773C">
          <w:rPr>
            <w:rStyle w:val="Hyperlink"/>
            <w:rFonts w:cstheme="minorHAnsi"/>
          </w:rPr>
          <w:t xml:space="preserve">Treasury’s </w:t>
        </w:r>
        <w:r>
          <w:rPr>
            <w:rStyle w:val="Hyperlink"/>
            <w:rFonts w:cstheme="minorHAnsi"/>
          </w:rPr>
          <w:t>Overview of</w:t>
        </w:r>
        <w:r w:rsidRPr="00D3773C">
          <w:rPr>
            <w:rStyle w:val="Hyperlink"/>
            <w:rFonts w:cstheme="minorHAnsi"/>
          </w:rPr>
          <w:t xml:space="preserve"> the Final Rule.</w:t>
        </w:r>
      </w:hyperlink>
    </w:p>
    <w:p w14:paraId="4CB37277" w14:textId="77777777" w:rsidR="002E309F" w:rsidRPr="008D7E03" w:rsidRDefault="002E309F" w:rsidP="00F46D97">
      <w:pPr>
        <w:spacing w:after="0"/>
        <w:rPr>
          <w:rFonts w:cstheme="minorHAnsi"/>
        </w:rPr>
      </w:pPr>
      <w:r w:rsidRPr="008D7E03">
        <w:rPr>
          <w:rFonts w:cstheme="minorHAnsi"/>
          <w:i/>
          <w:iCs/>
        </w:rPr>
        <w:t> </w:t>
      </w:r>
    </w:p>
    <w:p w14:paraId="1B3B25BC" w14:textId="32D2C19F" w:rsidR="002E309F" w:rsidRPr="008D7E03" w:rsidRDefault="002E309F" w:rsidP="00F46D97">
      <w:pPr>
        <w:spacing w:after="0"/>
        <w:rPr>
          <w:rFonts w:cstheme="minorHAnsi"/>
        </w:rPr>
      </w:pPr>
      <w:r w:rsidRPr="008D7E03">
        <w:rPr>
          <w:rFonts w:cstheme="minorHAnsi"/>
          <w:b/>
          <w:bCs/>
          <w:i/>
          <w:iCs/>
        </w:rPr>
        <w:t>SLFRF can fund an even wider array of activities in schools</w:t>
      </w:r>
      <w:r w:rsidR="008A5674">
        <w:rPr>
          <w:rFonts w:cstheme="minorHAnsi"/>
          <w:b/>
          <w:bCs/>
          <w:i/>
          <w:iCs/>
        </w:rPr>
        <w:t xml:space="preserve"> and early learning programs</w:t>
      </w:r>
      <w:r w:rsidRPr="008D7E03">
        <w:rPr>
          <w:rFonts w:cstheme="minorHAnsi"/>
          <w:b/>
          <w:bCs/>
          <w:i/>
          <w:iCs/>
        </w:rPr>
        <w:t xml:space="preserve"> in communities disproportionately impacted by the pandemic</w:t>
      </w:r>
      <w:r w:rsidR="008D7E03" w:rsidRPr="008D7E03">
        <w:rPr>
          <w:rFonts w:cstheme="minorHAnsi"/>
          <w:b/>
          <w:bCs/>
          <w:i/>
          <w:iCs/>
        </w:rPr>
        <w:t>:</w:t>
      </w:r>
    </w:p>
    <w:p w14:paraId="4723635B" w14:textId="4AAE3B41" w:rsidR="002E309F" w:rsidRDefault="002E309F" w:rsidP="00F46D97">
      <w:pPr>
        <w:spacing w:after="0"/>
        <w:rPr>
          <w:rFonts w:cstheme="minorHAnsi"/>
        </w:rPr>
      </w:pPr>
      <w:r w:rsidRPr="008D7E03">
        <w:rPr>
          <w:rFonts w:cstheme="minorHAnsi"/>
        </w:rPr>
        <w:t>Recognizing that some communities, including communities</w:t>
      </w:r>
      <w:r w:rsidR="2E9A75E1" w:rsidRPr="418CC0DF">
        <w:t xml:space="preserve"> with high rates of poverty</w:t>
      </w:r>
      <w:r w:rsidRPr="008D7E03">
        <w:rPr>
          <w:rFonts w:cstheme="minorHAnsi"/>
        </w:rPr>
        <w:t xml:space="preserve">, have been especially hard-hit by the pandemic and its negative economic impacts, Treasury has enumerated a wider variety of eligible uses for SLFRF in these </w:t>
      </w:r>
      <w:r w:rsidR="00894E13">
        <w:rPr>
          <w:rFonts w:cstheme="minorHAnsi"/>
        </w:rPr>
        <w:t xml:space="preserve">disproportionately impacted </w:t>
      </w:r>
      <w:r w:rsidRPr="008D7E03">
        <w:rPr>
          <w:rFonts w:cstheme="minorHAnsi"/>
        </w:rPr>
        <w:t xml:space="preserve">communities. This includes services to address educational disparities, including assistance to </w:t>
      </w:r>
      <w:r w:rsidR="2E9A75E1" w:rsidRPr="418CC0DF">
        <w:t xml:space="preserve">districts with </w:t>
      </w:r>
      <w:r w:rsidRPr="008D7E03">
        <w:rPr>
          <w:rFonts w:cstheme="minorHAnsi"/>
        </w:rPr>
        <w:t>high</w:t>
      </w:r>
      <w:r w:rsidR="2E9A75E1" w:rsidRPr="418CC0DF">
        <w:t xml:space="preserve"> rates of </w:t>
      </w:r>
      <w:r w:rsidRPr="008D7E03">
        <w:rPr>
          <w:rFonts w:cstheme="minorHAnsi"/>
        </w:rPr>
        <w:t xml:space="preserve">poverty, and educational and evidence-based services to address student academic, social, emotional, and </w:t>
      </w:r>
      <w:r w:rsidRPr="00E131EF">
        <w:rPr>
          <w:rFonts w:cstheme="minorHAnsi"/>
        </w:rPr>
        <w:lastRenderedPageBreak/>
        <w:t xml:space="preserve">mental health needs. It also includes investments in school </w:t>
      </w:r>
      <w:r w:rsidR="008A5674">
        <w:rPr>
          <w:rFonts w:cstheme="minorHAnsi"/>
        </w:rPr>
        <w:t xml:space="preserve">and child care </w:t>
      </w:r>
      <w:r w:rsidRPr="00E131EF">
        <w:rPr>
          <w:rFonts w:cstheme="minorHAnsi"/>
        </w:rPr>
        <w:t xml:space="preserve">buildings and other </w:t>
      </w:r>
      <w:r w:rsidR="008B1CD9">
        <w:rPr>
          <w:rFonts w:cstheme="minorHAnsi"/>
        </w:rPr>
        <w:t xml:space="preserve">K-12 </w:t>
      </w:r>
      <w:r w:rsidRPr="00E131EF">
        <w:rPr>
          <w:rFonts w:cstheme="minorHAnsi"/>
        </w:rPr>
        <w:t>educational equipment and facilities</w:t>
      </w:r>
      <w:r w:rsidR="00B112E2">
        <w:rPr>
          <w:rFonts w:cstheme="minorHAnsi"/>
        </w:rPr>
        <w:t xml:space="preserve"> that are a reasonably proportional response to the pandemic’s impacts</w:t>
      </w:r>
      <w:r w:rsidRPr="00E131EF">
        <w:rPr>
          <w:rFonts w:cstheme="minorHAnsi"/>
        </w:rPr>
        <w:t xml:space="preserve">. This means that </w:t>
      </w:r>
      <w:r w:rsidR="2E9A75E1" w:rsidRPr="418CC0DF">
        <w:t xml:space="preserve">schools with </w:t>
      </w:r>
      <w:r w:rsidRPr="00E131EF">
        <w:rPr>
          <w:rFonts w:cstheme="minorHAnsi"/>
        </w:rPr>
        <w:t>high</w:t>
      </w:r>
      <w:r w:rsidR="2E9A75E1" w:rsidRPr="418CC0DF">
        <w:t xml:space="preserve"> rates of </w:t>
      </w:r>
      <w:r w:rsidRPr="00E131EF">
        <w:rPr>
          <w:rFonts w:cstheme="minorHAnsi"/>
        </w:rPr>
        <w:t xml:space="preserve">poverty can receive broad budgetary support that can fund </w:t>
      </w:r>
      <w:r w:rsidR="2E9A75E1" w:rsidRPr="418CC0DF">
        <w:t xml:space="preserve">educators and </w:t>
      </w:r>
      <w:r w:rsidRPr="00E131EF">
        <w:rPr>
          <w:rFonts w:cstheme="minorHAnsi"/>
        </w:rPr>
        <w:t xml:space="preserve">staff and improve the </w:t>
      </w:r>
      <w:r w:rsidR="00E471DC">
        <w:rPr>
          <w:rFonts w:cstheme="minorHAnsi"/>
        </w:rPr>
        <w:t xml:space="preserve">learning </w:t>
      </w:r>
      <w:r w:rsidRPr="00E131EF">
        <w:rPr>
          <w:rFonts w:cstheme="minorHAnsi"/>
        </w:rPr>
        <w:t xml:space="preserve">environment. </w:t>
      </w:r>
    </w:p>
    <w:p w14:paraId="086CBF21" w14:textId="4EED0DA2" w:rsidR="006E39EF" w:rsidRDefault="006E39EF" w:rsidP="00F46D97">
      <w:pPr>
        <w:spacing w:after="0"/>
        <w:rPr>
          <w:rFonts w:cstheme="minorHAnsi"/>
        </w:rPr>
      </w:pPr>
    </w:p>
    <w:p w14:paraId="7730E5FA" w14:textId="64DD026E" w:rsidR="006E39EF" w:rsidRPr="00E131EF" w:rsidRDefault="006E39EF" w:rsidP="00F46D97">
      <w:pPr>
        <w:spacing w:after="0"/>
        <w:rPr>
          <w:rFonts w:cstheme="minorHAnsi"/>
        </w:rPr>
      </w:pPr>
      <w:r>
        <w:rPr>
          <w:rFonts w:cstheme="minorHAnsi"/>
          <w:u w:val="single"/>
        </w:rPr>
        <w:t xml:space="preserve">Jurisdictions can find additional information starting on page 19 of </w:t>
      </w:r>
      <w:hyperlink r:id="rId17" w:history="1">
        <w:r w:rsidRPr="00D3773C">
          <w:rPr>
            <w:rStyle w:val="Hyperlink"/>
            <w:rFonts w:cstheme="minorHAnsi"/>
          </w:rPr>
          <w:t xml:space="preserve">Treasury’s </w:t>
        </w:r>
        <w:r>
          <w:rPr>
            <w:rStyle w:val="Hyperlink"/>
            <w:rFonts w:cstheme="minorHAnsi"/>
          </w:rPr>
          <w:t>Overview of</w:t>
        </w:r>
        <w:r w:rsidRPr="00D3773C">
          <w:rPr>
            <w:rStyle w:val="Hyperlink"/>
            <w:rFonts w:cstheme="minorHAnsi"/>
          </w:rPr>
          <w:t xml:space="preserve"> the Final Rule.</w:t>
        </w:r>
      </w:hyperlink>
    </w:p>
    <w:p w14:paraId="33A76D88" w14:textId="53669860" w:rsidR="002E309F" w:rsidRDefault="002E309F" w:rsidP="00F46D97">
      <w:pPr>
        <w:spacing w:after="0"/>
        <w:rPr>
          <w:rFonts w:cstheme="minorHAnsi"/>
          <w:i/>
          <w:iCs/>
        </w:rPr>
      </w:pPr>
      <w:r w:rsidRPr="008D7E03">
        <w:rPr>
          <w:rFonts w:cstheme="minorHAnsi"/>
          <w:i/>
          <w:iCs/>
        </w:rPr>
        <w:t> </w:t>
      </w:r>
    </w:p>
    <w:p w14:paraId="21F083ED" w14:textId="35F0551D" w:rsidR="008B3A5A" w:rsidRPr="00667470" w:rsidRDefault="008B3A5A" w:rsidP="00F46D97">
      <w:pPr>
        <w:spacing w:after="0"/>
        <w:rPr>
          <w:rFonts w:cstheme="minorHAnsi"/>
          <w:u w:val="single"/>
        </w:rPr>
      </w:pPr>
      <w:r w:rsidRPr="00667470">
        <w:rPr>
          <w:rFonts w:cstheme="minorHAnsi"/>
          <w:u w:val="single"/>
        </w:rPr>
        <w:t>Examples:</w:t>
      </w:r>
    </w:p>
    <w:p w14:paraId="5D2CFB19" w14:textId="29E49EE9" w:rsidR="008829DB" w:rsidRPr="00E11CC1" w:rsidRDefault="008829DB">
      <w:pPr>
        <w:pStyle w:val="ListParagraph"/>
        <w:numPr>
          <w:ilvl w:val="0"/>
          <w:numId w:val="6"/>
        </w:numPr>
      </w:pPr>
      <w:r w:rsidRPr="00667470">
        <w:rPr>
          <w:b/>
          <w:bCs/>
          <w:iCs/>
        </w:rPr>
        <w:t>Maryland</w:t>
      </w:r>
      <w:r w:rsidRPr="008829DB">
        <w:rPr>
          <w:iCs/>
        </w:rPr>
        <w:t xml:space="preserve"> is investing $</w:t>
      </w:r>
      <w:r>
        <w:rPr>
          <w:iCs/>
        </w:rPr>
        <w:t>2</w:t>
      </w:r>
      <w:r w:rsidR="00CE1569">
        <w:rPr>
          <w:iCs/>
        </w:rPr>
        <w:t>6</w:t>
      </w:r>
      <w:r>
        <w:rPr>
          <w:iCs/>
        </w:rPr>
        <w:t>7 million</w:t>
      </w:r>
      <w:r w:rsidRPr="008829DB">
        <w:rPr>
          <w:iCs/>
        </w:rPr>
        <w:t xml:space="preserve"> </w:t>
      </w:r>
      <w:r w:rsidR="00FC576E">
        <w:t>of SLFRF funding</w:t>
      </w:r>
      <w:r w:rsidR="00E11CC1">
        <w:t xml:space="preserve"> to help schools cope with the impacts of the COVID-19 pandemic. The State will provide grants to help schools safely reopen for in-person instruction and support a wide range of academic services to address learning loss, including through tutoring and supplemental instruction for public school students in grades 4 through 12; a summer school program for public school students; and transitional supplemental instruction to prioritize students with the greatest learning losses, including students in special education and English learners programs.</w:t>
      </w:r>
    </w:p>
    <w:p w14:paraId="217601C4" w14:textId="42B12BFB" w:rsidR="001C2374" w:rsidRPr="00667470" w:rsidRDefault="001C2374" w:rsidP="008B3A5A">
      <w:pPr>
        <w:pStyle w:val="ListParagraph"/>
        <w:numPr>
          <w:ilvl w:val="0"/>
          <w:numId w:val="6"/>
        </w:numPr>
        <w:rPr>
          <w:iCs/>
        </w:rPr>
      </w:pPr>
      <w:r w:rsidRPr="00667470">
        <w:rPr>
          <w:b/>
          <w:bCs/>
          <w:iCs/>
        </w:rPr>
        <w:t xml:space="preserve">Denver, </w:t>
      </w:r>
      <w:r w:rsidR="004202D0">
        <w:rPr>
          <w:b/>
          <w:bCs/>
          <w:iCs/>
        </w:rPr>
        <w:t>Colorado</w:t>
      </w:r>
      <w:r w:rsidR="004202D0" w:rsidRPr="001C2374">
        <w:rPr>
          <w:iCs/>
        </w:rPr>
        <w:t xml:space="preserve"> </w:t>
      </w:r>
      <w:r w:rsidRPr="001C2374">
        <w:rPr>
          <w:iCs/>
        </w:rPr>
        <w:t xml:space="preserve">is investing </w:t>
      </w:r>
      <w:r>
        <w:rPr>
          <w:iCs/>
        </w:rPr>
        <w:t xml:space="preserve">nearly $2 million of SLFRF funding for </w:t>
      </w:r>
      <w:r w:rsidRPr="001C2374">
        <w:rPr>
          <w:iCs/>
        </w:rPr>
        <w:t>a competitive grant process to support 8-10 youth-service organizations that offer free, daily summer programming to approximately 1,000 youth. These programs improve youth academic achievement</w:t>
      </w:r>
      <w:r>
        <w:rPr>
          <w:iCs/>
        </w:rPr>
        <w:t xml:space="preserve"> </w:t>
      </w:r>
      <w:r w:rsidRPr="001C2374">
        <w:rPr>
          <w:iCs/>
        </w:rPr>
        <w:t>and well-being and are an essential support for working families.</w:t>
      </w:r>
    </w:p>
    <w:p w14:paraId="1B2A435D" w14:textId="1F9444E8" w:rsidR="008B3A5A" w:rsidRDefault="008829DB" w:rsidP="00667470">
      <w:pPr>
        <w:pStyle w:val="ListParagraph"/>
        <w:numPr>
          <w:ilvl w:val="0"/>
          <w:numId w:val="6"/>
        </w:numPr>
        <w:rPr>
          <w:iCs/>
        </w:rPr>
      </w:pPr>
      <w:r w:rsidRPr="00667470">
        <w:rPr>
          <w:b/>
          <w:bCs/>
          <w:iCs/>
        </w:rPr>
        <w:t>New Hanover County, North Carolina</w:t>
      </w:r>
      <w:r w:rsidRPr="008829DB">
        <w:rPr>
          <w:iCs/>
        </w:rPr>
        <w:t xml:space="preserve"> is </w:t>
      </w:r>
      <w:r>
        <w:rPr>
          <w:iCs/>
        </w:rPr>
        <w:t>using SLFRF funding to hire</w:t>
      </w:r>
      <w:r w:rsidRPr="008829DB">
        <w:rPr>
          <w:iCs/>
        </w:rPr>
        <w:t xml:space="preserve"> 19 mental health staff to ensure access to mental health counselors at each public school through the County's Health and Human Services Department.</w:t>
      </w:r>
    </w:p>
    <w:p w14:paraId="16243520" w14:textId="72689A26" w:rsidR="00C20BD4" w:rsidRPr="008B3A5A" w:rsidRDefault="00C20BD4" w:rsidP="00667470">
      <w:pPr>
        <w:pStyle w:val="ListParagraph"/>
        <w:numPr>
          <w:ilvl w:val="0"/>
          <w:numId w:val="6"/>
        </w:numPr>
        <w:rPr>
          <w:iCs/>
        </w:rPr>
      </w:pPr>
      <w:r w:rsidRPr="00163BAF">
        <w:rPr>
          <w:b/>
          <w:bCs/>
          <w:iCs/>
        </w:rPr>
        <w:t>Minnesota</w:t>
      </w:r>
      <w:r w:rsidRPr="00C20BD4">
        <w:rPr>
          <w:iCs/>
        </w:rPr>
        <w:t xml:space="preserve"> is investing $20</w:t>
      </w:r>
      <w:r>
        <w:rPr>
          <w:iCs/>
        </w:rPr>
        <w:t xml:space="preserve"> million</w:t>
      </w:r>
      <w:r w:rsidRPr="00C20BD4">
        <w:rPr>
          <w:iCs/>
        </w:rPr>
        <w:t xml:space="preserve"> in summer preschool or prekindergarten </w:t>
      </w:r>
      <w:r>
        <w:rPr>
          <w:iCs/>
        </w:rPr>
        <w:t xml:space="preserve">for </w:t>
      </w:r>
      <w:r w:rsidRPr="00C20BD4">
        <w:rPr>
          <w:iCs/>
        </w:rPr>
        <w:t xml:space="preserve">4- and 5-year-olds. These programs </w:t>
      </w:r>
      <w:r>
        <w:rPr>
          <w:iCs/>
        </w:rPr>
        <w:t xml:space="preserve">will </w:t>
      </w:r>
      <w:r w:rsidRPr="00C20BD4">
        <w:rPr>
          <w:iCs/>
        </w:rPr>
        <w:t xml:space="preserve">support children before they enter kindergarten, </w:t>
      </w:r>
      <w:r>
        <w:rPr>
          <w:iCs/>
        </w:rPr>
        <w:t>particularly</w:t>
      </w:r>
      <w:r w:rsidRPr="00C20BD4">
        <w:rPr>
          <w:iCs/>
        </w:rPr>
        <w:t xml:space="preserve"> those who</w:t>
      </w:r>
      <w:r>
        <w:rPr>
          <w:iCs/>
        </w:rPr>
        <w:t xml:space="preserve"> could not</w:t>
      </w:r>
      <w:r w:rsidRPr="00C20BD4">
        <w:rPr>
          <w:iCs/>
        </w:rPr>
        <w:t xml:space="preserve"> attend a high-quality early </w:t>
      </w:r>
      <w:r>
        <w:rPr>
          <w:iCs/>
        </w:rPr>
        <w:t>learning</w:t>
      </w:r>
      <w:r w:rsidRPr="00C20BD4">
        <w:rPr>
          <w:iCs/>
        </w:rPr>
        <w:t xml:space="preserve"> program due to </w:t>
      </w:r>
      <w:r>
        <w:rPr>
          <w:iCs/>
        </w:rPr>
        <w:t>the pandemic</w:t>
      </w:r>
      <w:r w:rsidRPr="00C20BD4">
        <w:rPr>
          <w:iCs/>
        </w:rPr>
        <w:t>.</w:t>
      </w:r>
    </w:p>
    <w:p w14:paraId="2F123461" w14:textId="77777777" w:rsidR="008B3A5A" w:rsidRPr="008D7E03" w:rsidRDefault="008B3A5A" w:rsidP="00F46D97">
      <w:pPr>
        <w:spacing w:after="0"/>
        <w:rPr>
          <w:rFonts w:cstheme="minorHAnsi"/>
          <w:iCs/>
        </w:rPr>
      </w:pPr>
    </w:p>
    <w:p w14:paraId="5F816A64" w14:textId="77777777" w:rsidR="00F46D97" w:rsidRPr="00F46D97" w:rsidRDefault="00F46D97" w:rsidP="00F46D97">
      <w:pPr>
        <w:pStyle w:val="Heading1"/>
        <w:rPr>
          <w:b/>
        </w:rPr>
      </w:pPr>
      <w:r>
        <w:rPr>
          <w:rStyle w:val="normaltextrun"/>
          <w:b/>
        </w:rPr>
        <w:t>Additional Resources and Point of Contact</w:t>
      </w:r>
    </w:p>
    <w:p w14:paraId="02DB79D0" w14:textId="77777777" w:rsidR="00F46D97" w:rsidRDefault="00F46D97" w:rsidP="00F46D97">
      <w:pPr>
        <w:spacing w:after="0"/>
      </w:pPr>
    </w:p>
    <w:p w14:paraId="38DCE13A" w14:textId="3A424E71" w:rsidR="00F46D97" w:rsidRDefault="00F46D97" w:rsidP="008D7E03">
      <w:pPr>
        <w:spacing w:after="0"/>
      </w:pPr>
      <w:r>
        <w:t>For additional details</w:t>
      </w:r>
      <w:r w:rsidR="008D7E03">
        <w:t xml:space="preserve"> on SLFRF</w:t>
      </w:r>
      <w:r>
        <w:t xml:space="preserve">, </w:t>
      </w:r>
      <w:r w:rsidRPr="00FF697A">
        <w:t xml:space="preserve">please see the </w:t>
      </w:r>
      <w:hyperlink r:id="rId18" w:history="1">
        <w:r w:rsidRPr="00FF697A">
          <w:rPr>
            <w:rStyle w:val="Hyperlink"/>
          </w:rPr>
          <w:t>Overview of the Final Rule</w:t>
        </w:r>
      </w:hyperlink>
      <w:r w:rsidR="00DA13E8">
        <w:t>,</w:t>
      </w:r>
      <w:r w:rsidRPr="00FF697A">
        <w:t xml:space="preserve"> the </w:t>
      </w:r>
      <w:hyperlink r:id="rId19" w:history="1">
        <w:r w:rsidRPr="00FF697A">
          <w:rPr>
            <w:rStyle w:val="Hyperlink"/>
          </w:rPr>
          <w:t>Final Rule</w:t>
        </w:r>
      </w:hyperlink>
      <w:r w:rsidRPr="00F46D97">
        <w:rPr>
          <w:color w:val="FF0000"/>
        </w:rPr>
        <w:t xml:space="preserve"> </w:t>
      </w:r>
      <w:r w:rsidRPr="00FF697A">
        <w:t xml:space="preserve">itself, </w:t>
      </w:r>
      <w:r w:rsidR="00DA13E8">
        <w:t xml:space="preserve">and </w:t>
      </w:r>
      <w:hyperlink r:id="rId20" w:history="1">
        <w:r w:rsidR="00DA13E8" w:rsidRPr="00DA13E8">
          <w:rPr>
            <w:rStyle w:val="Hyperlink"/>
          </w:rPr>
          <w:t>FAQs</w:t>
        </w:r>
      </w:hyperlink>
      <w:r w:rsidR="00DA13E8">
        <w:t xml:space="preserve">, </w:t>
      </w:r>
      <w:r w:rsidRPr="00FF697A">
        <w:t xml:space="preserve">posted on </w:t>
      </w:r>
      <w:hyperlink r:id="rId21" w:history="1">
        <w:r w:rsidRPr="00FF697A">
          <w:rPr>
            <w:rStyle w:val="Hyperlink"/>
          </w:rPr>
          <w:t>Treasury’s website</w:t>
        </w:r>
      </w:hyperlink>
      <w:r w:rsidRPr="00FF697A">
        <w:t>. Treasury is happy to work with jurisdictions seeking to deploy their funds for th</w:t>
      </w:r>
      <w:r w:rsidR="008D7E03">
        <w:t>e</w:t>
      </w:r>
      <w:r w:rsidRPr="00FF697A">
        <w:t xml:space="preserve"> critical eligible use</w:t>
      </w:r>
      <w:r w:rsidR="008D7E03">
        <w:t>s described above</w:t>
      </w:r>
      <w:r>
        <w:t>.</w:t>
      </w:r>
      <w:r w:rsidRPr="00FF697A">
        <w:t xml:space="preserve"> </w:t>
      </w:r>
    </w:p>
    <w:p w14:paraId="0CB93E8D" w14:textId="77777777" w:rsidR="008D7E03" w:rsidRDefault="008D7E03" w:rsidP="008D7E03">
      <w:pPr>
        <w:spacing w:after="0"/>
      </w:pPr>
    </w:p>
    <w:p w14:paraId="39A14E7C" w14:textId="7383058A" w:rsidR="00F46D97" w:rsidRPr="00FF697A" w:rsidRDefault="00F46D97" w:rsidP="00F46D97">
      <w:r w:rsidRPr="00FF697A">
        <w:t xml:space="preserve">For more information </w:t>
      </w:r>
      <w:r>
        <w:t xml:space="preserve">about State and Local Fiscal Recovery Funds </w:t>
      </w:r>
      <w:r w:rsidRPr="00FF697A">
        <w:t xml:space="preserve">or with questions, contact </w:t>
      </w:r>
      <w:hyperlink r:id="rId22" w:history="1">
        <w:r w:rsidR="00A80ADF" w:rsidRPr="00A80ADF">
          <w:rPr>
            <w:rStyle w:val="Hyperlink"/>
          </w:rPr>
          <w:t>SLFRF</w:t>
        </w:r>
        <w:r w:rsidR="00A80ADF" w:rsidRPr="007952CE">
          <w:rPr>
            <w:rStyle w:val="Hyperlink"/>
          </w:rPr>
          <w:t>@treasury.gov</w:t>
        </w:r>
      </w:hyperlink>
      <w:r w:rsidRPr="008A10B7">
        <w:t>.</w:t>
      </w:r>
      <w:r w:rsidR="00DA13E8">
        <w:t xml:space="preserve"> The examples included throughout this fact sheet are based on recipient reports and publicly-available information, and their inclusion in this document does not constitute an explicit approval of these projects by Treasury.</w:t>
      </w:r>
    </w:p>
    <w:p w14:paraId="7C4CCBC7" w14:textId="77777777" w:rsidR="00F46D97" w:rsidRDefault="00F46D97" w:rsidP="00F46D97">
      <w:pPr>
        <w:spacing w:after="0"/>
      </w:pPr>
    </w:p>
    <w:sectPr w:rsidR="00F46D97" w:rsidSect="00EF510D">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8105B" w14:textId="77777777" w:rsidR="00595046" w:rsidRDefault="00595046" w:rsidP="008D7E03">
      <w:pPr>
        <w:spacing w:after="0" w:line="240" w:lineRule="auto"/>
      </w:pPr>
      <w:r>
        <w:separator/>
      </w:r>
    </w:p>
  </w:endnote>
  <w:endnote w:type="continuationSeparator" w:id="0">
    <w:p w14:paraId="001BE864" w14:textId="77777777" w:rsidR="00595046" w:rsidRDefault="00595046" w:rsidP="008D7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495832"/>
      <w:docPartObj>
        <w:docPartGallery w:val="Page Numbers (Bottom of Page)"/>
        <w:docPartUnique/>
      </w:docPartObj>
    </w:sdtPr>
    <w:sdtEndPr>
      <w:rPr>
        <w:noProof/>
      </w:rPr>
    </w:sdtEndPr>
    <w:sdtContent>
      <w:p w14:paraId="339D6CAC" w14:textId="77777777" w:rsidR="008D7E03" w:rsidRDefault="008D7E0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ED2A9" w14:textId="77777777" w:rsidR="008D7E03" w:rsidRDefault="008D7E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32F82" w14:textId="77777777" w:rsidR="00595046" w:rsidRDefault="00595046" w:rsidP="008D7E03">
      <w:pPr>
        <w:spacing w:after="0" w:line="240" w:lineRule="auto"/>
      </w:pPr>
      <w:r>
        <w:separator/>
      </w:r>
    </w:p>
  </w:footnote>
  <w:footnote w:type="continuationSeparator" w:id="0">
    <w:p w14:paraId="742178C8" w14:textId="77777777" w:rsidR="00595046" w:rsidRDefault="00595046" w:rsidP="008D7E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3D81"/>
    <w:multiLevelType w:val="hybridMultilevel"/>
    <w:tmpl w:val="688E7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61CC5"/>
    <w:multiLevelType w:val="hybridMultilevel"/>
    <w:tmpl w:val="0CFEBC42"/>
    <w:lvl w:ilvl="0" w:tplc="1A3E117C">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AA7B3C"/>
    <w:multiLevelType w:val="hybridMultilevel"/>
    <w:tmpl w:val="377CEB88"/>
    <w:lvl w:ilvl="0" w:tplc="681C806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AE6033"/>
    <w:multiLevelType w:val="hybridMultilevel"/>
    <w:tmpl w:val="2452E60C"/>
    <w:lvl w:ilvl="0" w:tplc="681C806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FC03A6"/>
    <w:multiLevelType w:val="hybridMultilevel"/>
    <w:tmpl w:val="1E02AC58"/>
    <w:lvl w:ilvl="0" w:tplc="681C806A">
      <w:start w:val="1"/>
      <w:numFmt w:val="upp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5329AA"/>
    <w:multiLevelType w:val="hybridMultilevel"/>
    <w:tmpl w:val="03063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3"/>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B6F"/>
    <w:rsid w:val="00011E07"/>
    <w:rsid w:val="00012617"/>
    <w:rsid w:val="000431F7"/>
    <w:rsid w:val="00046466"/>
    <w:rsid w:val="000472FA"/>
    <w:rsid w:val="00067B95"/>
    <w:rsid w:val="0007097A"/>
    <w:rsid w:val="00086093"/>
    <w:rsid w:val="000B6290"/>
    <w:rsid w:val="000B7B6F"/>
    <w:rsid w:val="000C1C11"/>
    <w:rsid w:val="000C703D"/>
    <w:rsid w:val="000E223F"/>
    <w:rsid w:val="000F4796"/>
    <w:rsid w:val="001005FB"/>
    <w:rsid w:val="0011120A"/>
    <w:rsid w:val="00115470"/>
    <w:rsid w:val="00124360"/>
    <w:rsid w:val="00135E7E"/>
    <w:rsid w:val="0014273E"/>
    <w:rsid w:val="0014464C"/>
    <w:rsid w:val="00152403"/>
    <w:rsid w:val="00163BAF"/>
    <w:rsid w:val="00180EC8"/>
    <w:rsid w:val="001831FE"/>
    <w:rsid w:val="001875F1"/>
    <w:rsid w:val="001A2BDB"/>
    <w:rsid w:val="001B3CD4"/>
    <w:rsid w:val="001C2374"/>
    <w:rsid w:val="001C28BB"/>
    <w:rsid w:val="001C4A48"/>
    <w:rsid w:val="001D4B98"/>
    <w:rsid w:val="001D691A"/>
    <w:rsid w:val="001F0AFE"/>
    <w:rsid w:val="002101A0"/>
    <w:rsid w:val="002259F9"/>
    <w:rsid w:val="002341CA"/>
    <w:rsid w:val="00237590"/>
    <w:rsid w:val="00253DCC"/>
    <w:rsid w:val="00281C35"/>
    <w:rsid w:val="00282D09"/>
    <w:rsid w:val="0028328E"/>
    <w:rsid w:val="002A30BE"/>
    <w:rsid w:val="002C3BDD"/>
    <w:rsid w:val="002E24F6"/>
    <w:rsid w:val="002E309F"/>
    <w:rsid w:val="002E5A05"/>
    <w:rsid w:val="003169E8"/>
    <w:rsid w:val="00363F3D"/>
    <w:rsid w:val="00364A1A"/>
    <w:rsid w:val="00374F9F"/>
    <w:rsid w:val="00390B49"/>
    <w:rsid w:val="003A6738"/>
    <w:rsid w:val="003D3766"/>
    <w:rsid w:val="003F26CA"/>
    <w:rsid w:val="003F4E91"/>
    <w:rsid w:val="00406C99"/>
    <w:rsid w:val="004202D0"/>
    <w:rsid w:val="004341EC"/>
    <w:rsid w:val="004507F4"/>
    <w:rsid w:val="004512AB"/>
    <w:rsid w:val="00463DB2"/>
    <w:rsid w:val="00472E6B"/>
    <w:rsid w:val="00475333"/>
    <w:rsid w:val="004965B8"/>
    <w:rsid w:val="004B7A65"/>
    <w:rsid w:val="004C0A16"/>
    <w:rsid w:val="004E107B"/>
    <w:rsid w:val="004E4342"/>
    <w:rsid w:val="004F5A23"/>
    <w:rsid w:val="00501481"/>
    <w:rsid w:val="00505490"/>
    <w:rsid w:val="005304EB"/>
    <w:rsid w:val="005342FF"/>
    <w:rsid w:val="00534B1D"/>
    <w:rsid w:val="00545A05"/>
    <w:rsid w:val="005520BB"/>
    <w:rsid w:val="00553517"/>
    <w:rsid w:val="00562D49"/>
    <w:rsid w:val="00562E17"/>
    <w:rsid w:val="0056376E"/>
    <w:rsid w:val="00563928"/>
    <w:rsid w:val="00575EA3"/>
    <w:rsid w:val="00582256"/>
    <w:rsid w:val="005938B1"/>
    <w:rsid w:val="00595046"/>
    <w:rsid w:val="00597AE3"/>
    <w:rsid w:val="005D5DB3"/>
    <w:rsid w:val="005E40CF"/>
    <w:rsid w:val="00604A4A"/>
    <w:rsid w:val="006373D7"/>
    <w:rsid w:val="00642CFE"/>
    <w:rsid w:val="00644D31"/>
    <w:rsid w:val="00653117"/>
    <w:rsid w:val="00667470"/>
    <w:rsid w:val="00667969"/>
    <w:rsid w:val="00671702"/>
    <w:rsid w:val="00675F0D"/>
    <w:rsid w:val="00680BC4"/>
    <w:rsid w:val="00680DE0"/>
    <w:rsid w:val="00685AFB"/>
    <w:rsid w:val="00686C39"/>
    <w:rsid w:val="006C1C57"/>
    <w:rsid w:val="006D2A9E"/>
    <w:rsid w:val="006D3DAA"/>
    <w:rsid w:val="006E320F"/>
    <w:rsid w:val="006E39EF"/>
    <w:rsid w:val="006F6362"/>
    <w:rsid w:val="00702862"/>
    <w:rsid w:val="007088DC"/>
    <w:rsid w:val="00715BA4"/>
    <w:rsid w:val="00737B0E"/>
    <w:rsid w:val="00751060"/>
    <w:rsid w:val="00761ED3"/>
    <w:rsid w:val="007778BF"/>
    <w:rsid w:val="00777CB4"/>
    <w:rsid w:val="007855A4"/>
    <w:rsid w:val="007C383E"/>
    <w:rsid w:val="007C576F"/>
    <w:rsid w:val="007D09B9"/>
    <w:rsid w:val="007D6A16"/>
    <w:rsid w:val="00803021"/>
    <w:rsid w:val="00812D0C"/>
    <w:rsid w:val="00814113"/>
    <w:rsid w:val="008277F4"/>
    <w:rsid w:val="008618D1"/>
    <w:rsid w:val="00862B2A"/>
    <w:rsid w:val="008678AC"/>
    <w:rsid w:val="008829DB"/>
    <w:rsid w:val="008855ED"/>
    <w:rsid w:val="00892FC8"/>
    <w:rsid w:val="00894E13"/>
    <w:rsid w:val="008A5674"/>
    <w:rsid w:val="008B1CD9"/>
    <w:rsid w:val="008B3A5A"/>
    <w:rsid w:val="008B548C"/>
    <w:rsid w:val="008D7E03"/>
    <w:rsid w:val="00902209"/>
    <w:rsid w:val="00903BA6"/>
    <w:rsid w:val="009066CB"/>
    <w:rsid w:val="0090F40B"/>
    <w:rsid w:val="009216EF"/>
    <w:rsid w:val="00922C82"/>
    <w:rsid w:val="00950B21"/>
    <w:rsid w:val="00961FBA"/>
    <w:rsid w:val="00962F59"/>
    <w:rsid w:val="00971B65"/>
    <w:rsid w:val="00991D56"/>
    <w:rsid w:val="009A1723"/>
    <w:rsid w:val="009A1B58"/>
    <w:rsid w:val="009C0B24"/>
    <w:rsid w:val="009D5163"/>
    <w:rsid w:val="009E5274"/>
    <w:rsid w:val="009E5599"/>
    <w:rsid w:val="009F244F"/>
    <w:rsid w:val="009F3B67"/>
    <w:rsid w:val="00A02872"/>
    <w:rsid w:val="00A0435C"/>
    <w:rsid w:val="00A11936"/>
    <w:rsid w:val="00A20219"/>
    <w:rsid w:val="00A20411"/>
    <w:rsid w:val="00A26645"/>
    <w:rsid w:val="00A35CCB"/>
    <w:rsid w:val="00A422B1"/>
    <w:rsid w:val="00A600BD"/>
    <w:rsid w:val="00A80ADF"/>
    <w:rsid w:val="00A82134"/>
    <w:rsid w:val="00A83661"/>
    <w:rsid w:val="00A840D7"/>
    <w:rsid w:val="00A86B9D"/>
    <w:rsid w:val="00A9408E"/>
    <w:rsid w:val="00AA3AFE"/>
    <w:rsid w:val="00AA6097"/>
    <w:rsid w:val="00AC2A8C"/>
    <w:rsid w:val="00B112E2"/>
    <w:rsid w:val="00B41F97"/>
    <w:rsid w:val="00B60925"/>
    <w:rsid w:val="00B63815"/>
    <w:rsid w:val="00B67037"/>
    <w:rsid w:val="00B730FC"/>
    <w:rsid w:val="00BC2D49"/>
    <w:rsid w:val="00BC36A4"/>
    <w:rsid w:val="00BD2130"/>
    <w:rsid w:val="00BD3A5B"/>
    <w:rsid w:val="00BE0D7F"/>
    <w:rsid w:val="00BF2B15"/>
    <w:rsid w:val="00BF62E2"/>
    <w:rsid w:val="00C12D63"/>
    <w:rsid w:val="00C139E0"/>
    <w:rsid w:val="00C20BD4"/>
    <w:rsid w:val="00C43CE1"/>
    <w:rsid w:val="00C51AB8"/>
    <w:rsid w:val="00C62A73"/>
    <w:rsid w:val="00C83AD6"/>
    <w:rsid w:val="00C96121"/>
    <w:rsid w:val="00C96CF7"/>
    <w:rsid w:val="00CB1523"/>
    <w:rsid w:val="00CB31B7"/>
    <w:rsid w:val="00CC427B"/>
    <w:rsid w:val="00CD03C5"/>
    <w:rsid w:val="00CD7925"/>
    <w:rsid w:val="00CE1569"/>
    <w:rsid w:val="00CE7162"/>
    <w:rsid w:val="00CF193A"/>
    <w:rsid w:val="00D10023"/>
    <w:rsid w:val="00D114EE"/>
    <w:rsid w:val="00D3661E"/>
    <w:rsid w:val="00D3773C"/>
    <w:rsid w:val="00D50490"/>
    <w:rsid w:val="00D51E3D"/>
    <w:rsid w:val="00D675BE"/>
    <w:rsid w:val="00D67A0B"/>
    <w:rsid w:val="00DA13E8"/>
    <w:rsid w:val="00DA305A"/>
    <w:rsid w:val="00DC194B"/>
    <w:rsid w:val="00DC4007"/>
    <w:rsid w:val="00DC52E4"/>
    <w:rsid w:val="00DD0AC8"/>
    <w:rsid w:val="00DE084F"/>
    <w:rsid w:val="00DF5483"/>
    <w:rsid w:val="00E001FF"/>
    <w:rsid w:val="00E11CC1"/>
    <w:rsid w:val="00E131EF"/>
    <w:rsid w:val="00E471DC"/>
    <w:rsid w:val="00E475F6"/>
    <w:rsid w:val="00E5681B"/>
    <w:rsid w:val="00E61A72"/>
    <w:rsid w:val="00E66EEC"/>
    <w:rsid w:val="00E67AA4"/>
    <w:rsid w:val="00E72CEF"/>
    <w:rsid w:val="00E83130"/>
    <w:rsid w:val="00E85FA0"/>
    <w:rsid w:val="00EA5B12"/>
    <w:rsid w:val="00EE2FBF"/>
    <w:rsid w:val="00EE7D96"/>
    <w:rsid w:val="00EF0B6D"/>
    <w:rsid w:val="00EF510D"/>
    <w:rsid w:val="00F10296"/>
    <w:rsid w:val="00F3489C"/>
    <w:rsid w:val="00F35ABD"/>
    <w:rsid w:val="00F417F1"/>
    <w:rsid w:val="00F46D97"/>
    <w:rsid w:val="00F516D9"/>
    <w:rsid w:val="00F70A74"/>
    <w:rsid w:val="00F9171D"/>
    <w:rsid w:val="00FA2DE3"/>
    <w:rsid w:val="00FB2CD8"/>
    <w:rsid w:val="00FB6A59"/>
    <w:rsid w:val="00FC4440"/>
    <w:rsid w:val="00FC576E"/>
    <w:rsid w:val="00FC7519"/>
    <w:rsid w:val="00FD49D9"/>
    <w:rsid w:val="00FF3571"/>
    <w:rsid w:val="015BB017"/>
    <w:rsid w:val="02FA3060"/>
    <w:rsid w:val="03601BAD"/>
    <w:rsid w:val="040062D6"/>
    <w:rsid w:val="04A0A8E7"/>
    <w:rsid w:val="06243B60"/>
    <w:rsid w:val="07079AC0"/>
    <w:rsid w:val="07112C45"/>
    <w:rsid w:val="07C992AA"/>
    <w:rsid w:val="085B8252"/>
    <w:rsid w:val="08B5659F"/>
    <w:rsid w:val="094ACC4F"/>
    <w:rsid w:val="09ACF38B"/>
    <w:rsid w:val="0D5D1A05"/>
    <w:rsid w:val="0E344CA7"/>
    <w:rsid w:val="0F01A052"/>
    <w:rsid w:val="0F4AFE67"/>
    <w:rsid w:val="10749E79"/>
    <w:rsid w:val="134652DF"/>
    <w:rsid w:val="13E0D4EC"/>
    <w:rsid w:val="1448193A"/>
    <w:rsid w:val="14D2A846"/>
    <w:rsid w:val="14DE08B9"/>
    <w:rsid w:val="195D9BE4"/>
    <w:rsid w:val="19622524"/>
    <w:rsid w:val="1BA2ED90"/>
    <w:rsid w:val="1C8AAA8B"/>
    <w:rsid w:val="1D1C27E1"/>
    <w:rsid w:val="1D1E1DA9"/>
    <w:rsid w:val="20724641"/>
    <w:rsid w:val="20E3DDB1"/>
    <w:rsid w:val="21A23F2C"/>
    <w:rsid w:val="22786578"/>
    <w:rsid w:val="27F11823"/>
    <w:rsid w:val="28C84362"/>
    <w:rsid w:val="299EB286"/>
    <w:rsid w:val="2C2BA471"/>
    <w:rsid w:val="2CA98179"/>
    <w:rsid w:val="2D3AF62C"/>
    <w:rsid w:val="2E9A75E1"/>
    <w:rsid w:val="2EE1390B"/>
    <w:rsid w:val="2FA6E79E"/>
    <w:rsid w:val="2FB246A4"/>
    <w:rsid w:val="368E8F96"/>
    <w:rsid w:val="38F0DD20"/>
    <w:rsid w:val="39E07099"/>
    <w:rsid w:val="3C25D629"/>
    <w:rsid w:val="3C78B9C6"/>
    <w:rsid w:val="3CA5B1D4"/>
    <w:rsid w:val="3E3AC387"/>
    <w:rsid w:val="3E7EB979"/>
    <w:rsid w:val="3ED47774"/>
    <w:rsid w:val="3EE0812F"/>
    <w:rsid w:val="418CC0DF"/>
    <w:rsid w:val="45ABAF5D"/>
    <w:rsid w:val="467FFB97"/>
    <w:rsid w:val="46869AF5"/>
    <w:rsid w:val="494BDB54"/>
    <w:rsid w:val="4950FB3E"/>
    <w:rsid w:val="4A7F2080"/>
    <w:rsid w:val="4C1AF0E1"/>
    <w:rsid w:val="4D58D4C7"/>
    <w:rsid w:val="4DADFF93"/>
    <w:rsid w:val="4E6504FD"/>
    <w:rsid w:val="4FFB695A"/>
    <w:rsid w:val="50B6DDD0"/>
    <w:rsid w:val="5302F004"/>
    <w:rsid w:val="530CCFE5"/>
    <w:rsid w:val="539144EB"/>
    <w:rsid w:val="541F0684"/>
    <w:rsid w:val="543E77BC"/>
    <w:rsid w:val="549FEE9D"/>
    <w:rsid w:val="5505572F"/>
    <w:rsid w:val="55799101"/>
    <w:rsid w:val="55F5FDD9"/>
    <w:rsid w:val="5613E1A0"/>
    <w:rsid w:val="5634AFB3"/>
    <w:rsid w:val="570E6DB9"/>
    <w:rsid w:val="573AB2C5"/>
    <w:rsid w:val="57AD79FC"/>
    <w:rsid w:val="58AC2ACD"/>
    <w:rsid w:val="5A15C7D2"/>
    <w:rsid w:val="5B290C16"/>
    <w:rsid w:val="5BA01E56"/>
    <w:rsid w:val="5D476EF9"/>
    <w:rsid w:val="5D7F9BF0"/>
    <w:rsid w:val="5D9E2CB5"/>
    <w:rsid w:val="5E19361F"/>
    <w:rsid w:val="5E39ACF4"/>
    <w:rsid w:val="633FB71D"/>
    <w:rsid w:val="640ECDAD"/>
    <w:rsid w:val="64B907C6"/>
    <w:rsid w:val="6668736D"/>
    <w:rsid w:val="687BE225"/>
    <w:rsid w:val="6AA18DE3"/>
    <w:rsid w:val="6B157130"/>
    <w:rsid w:val="6B5F2EFC"/>
    <w:rsid w:val="6C01DCDF"/>
    <w:rsid w:val="6E1595FE"/>
    <w:rsid w:val="6E9AB2A9"/>
    <w:rsid w:val="6F030399"/>
    <w:rsid w:val="70802D17"/>
    <w:rsid w:val="70D54E02"/>
    <w:rsid w:val="71046E35"/>
    <w:rsid w:val="72F0BA5F"/>
    <w:rsid w:val="73136A65"/>
    <w:rsid w:val="734B50FA"/>
    <w:rsid w:val="7362F3B0"/>
    <w:rsid w:val="7432245F"/>
    <w:rsid w:val="764EA07C"/>
    <w:rsid w:val="77491C42"/>
    <w:rsid w:val="78CD53CD"/>
    <w:rsid w:val="79C46483"/>
    <w:rsid w:val="7ABFF847"/>
    <w:rsid w:val="7C729B68"/>
    <w:rsid w:val="7CDED0FB"/>
    <w:rsid w:val="7D0BC39C"/>
    <w:rsid w:val="7D4AE8E8"/>
    <w:rsid w:val="7F7FF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5F542"/>
  <w15:chartTrackingRefBased/>
  <w15:docId w15:val="{8735DBBD-7829-44C0-A66C-3B5F90993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E309F"/>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D7E03"/>
    <w:pPr>
      <w:keepNext/>
      <w:keepLines/>
      <w:spacing w:before="40" w:after="0" w:line="240"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8D7E03"/>
    <w:pPr>
      <w:keepNext/>
      <w:keepLines/>
      <w:spacing w:before="40" w:after="0" w:line="240"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7B6F"/>
    <w:rPr>
      <w:sz w:val="16"/>
      <w:szCs w:val="16"/>
    </w:rPr>
  </w:style>
  <w:style w:type="paragraph" w:styleId="CommentText">
    <w:name w:val="annotation text"/>
    <w:basedOn w:val="Normal"/>
    <w:link w:val="CommentTextChar"/>
    <w:uiPriority w:val="99"/>
    <w:unhideWhenUsed/>
    <w:rsid w:val="000B7B6F"/>
    <w:pPr>
      <w:spacing w:after="0" w:line="240" w:lineRule="auto"/>
    </w:pPr>
    <w:rPr>
      <w:rFonts w:cstheme="minorHAnsi"/>
      <w:sz w:val="20"/>
      <w:szCs w:val="20"/>
    </w:rPr>
  </w:style>
  <w:style w:type="character" w:customStyle="1" w:styleId="CommentTextChar">
    <w:name w:val="Comment Text Char"/>
    <w:basedOn w:val="DefaultParagraphFont"/>
    <w:link w:val="CommentText"/>
    <w:uiPriority w:val="99"/>
    <w:rsid w:val="000B7B6F"/>
    <w:rPr>
      <w:rFonts w:cstheme="minorHAnsi"/>
      <w:sz w:val="20"/>
      <w:szCs w:val="20"/>
    </w:rPr>
  </w:style>
  <w:style w:type="paragraph" w:styleId="BalloonText">
    <w:name w:val="Balloon Text"/>
    <w:basedOn w:val="Normal"/>
    <w:link w:val="BalloonTextChar"/>
    <w:uiPriority w:val="99"/>
    <w:semiHidden/>
    <w:unhideWhenUsed/>
    <w:rsid w:val="000B7B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7B6F"/>
    <w:rPr>
      <w:rFonts w:ascii="Segoe UI" w:hAnsi="Segoe UI" w:cs="Segoe UI"/>
      <w:sz w:val="18"/>
      <w:szCs w:val="18"/>
    </w:rPr>
  </w:style>
  <w:style w:type="character" w:customStyle="1" w:styleId="Heading1Char">
    <w:name w:val="Heading 1 Char"/>
    <w:basedOn w:val="DefaultParagraphFont"/>
    <w:link w:val="Heading1"/>
    <w:uiPriority w:val="9"/>
    <w:rsid w:val="002E309F"/>
    <w:rPr>
      <w:rFonts w:asciiTheme="majorHAnsi" w:eastAsiaTheme="majorEastAsia" w:hAnsiTheme="majorHAnsi" w:cstheme="majorBidi"/>
      <w:color w:val="2F5496" w:themeColor="accent1" w:themeShade="BF"/>
      <w:sz w:val="32"/>
      <w:szCs w:val="32"/>
    </w:rPr>
  </w:style>
  <w:style w:type="character" w:customStyle="1" w:styleId="normaltextrun">
    <w:name w:val="normaltextrun"/>
    <w:basedOn w:val="DefaultParagraphFont"/>
    <w:rsid w:val="002E309F"/>
  </w:style>
  <w:style w:type="character" w:styleId="Hyperlink">
    <w:name w:val="Hyperlink"/>
    <w:basedOn w:val="DefaultParagraphFont"/>
    <w:uiPriority w:val="99"/>
    <w:unhideWhenUsed/>
    <w:rsid w:val="002E309F"/>
    <w:rPr>
      <w:color w:val="0563C1" w:themeColor="hyperlink"/>
      <w:u w:val="single"/>
    </w:rPr>
  </w:style>
  <w:style w:type="paragraph" w:styleId="ListParagraph">
    <w:name w:val="List Paragraph"/>
    <w:basedOn w:val="Normal"/>
    <w:link w:val="ListParagraphChar"/>
    <w:uiPriority w:val="34"/>
    <w:qFormat/>
    <w:rsid w:val="00F46D97"/>
    <w:pPr>
      <w:spacing w:after="0" w:line="240" w:lineRule="auto"/>
      <w:ind w:left="720"/>
      <w:contextualSpacing/>
    </w:pPr>
    <w:rPr>
      <w:rFonts w:cstheme="minorHAnsi"/>
    </w:rPr>
  </w:style>
  <w:style w:type="character" w:customStyle="1" w:styleId="ListParagraphChar">
    <w:name w:val="List Paragraph Char"/>
    <w:basedOn w:val="DefaultParagraphFont"/>
    <w:link w:val="ListParagraph"/>
    <w:uiPriority w:val="34"/>
    <w:locked/>
    <w:rsid w:val="00F46D97"/>
    <w:rPr>
      <w:rFonts w:cstheme="minorHAnsi"/>
    </w:rPr>
  </w:style>
  <w:style w:type="character" w:customStyle="1" w:styleId="Heading2Char">
    <w:name w:val="Heading 2 Char"/>
    <w:basedOn w:val="DefaultParagraphFont"/>
    <w:link w:val="Heading2"/>
    <w:uiPriority w:val="9"/>
    <w:rsid w:val="008D7E0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8D7E0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D7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7E03"/>
  </w:style>
  <w:style w:type="paragraph" w:styleId="Footer">
    <w:name w:val="footer"/>
    <w:basedOn w:val="Normal"/>
    <w:link w:val="FooterChar"/>
    <w:uiPriority w:val="99"/>
    <w:unhideWhenUsed/>
    <w:rsid w:val="008D7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7E03"/>
  </w:style>
  <w:style w:type="paragraph" w:styleId="CommentSubject">
    <w:name w:val="annotation subject"/>
    <w:basedOn w:val="CommentText"/>
    <w:next w:val="CommentText"/>
    <w:link w:val="CommentSubjectChar"/>
    <w:uiPriority w:val="99"/>
    <w:semiHidden/>
    <w:unhideWhenUsed/>
    <w:rsid w:val="00E471DC"/>
    <w:pPr>
      <w:spacing w:after="160"/>
    </w:pPr>
    <w:rPr>
      <w:rFonts w:cstheme="minorBidi"/>
      <w:b/>
      <w:bCs/>
    </w:rPr>
  </w:style>
  <w:style w:type="character" w:customStyle="1" w:styleId="CommentSubjectChar">
    <w:name w:val="Comment Subject Char"/>
    <w:basedOn w:val="CommentTextChar"/>
    <w:link w:val="CommentSubject"/>
    <w:uiPriority w:val="99"/>
    <w:semiHidden/>
    <w:rsid w:val="00E471DC"/>
    <w:rPr>
      <w:rFonts w:cstheme="minorHAnsi"/>
      <w:b/>
      <w:bCs/>
      <w:sz w:val="20"/>
      <w:szCs w:val="20"/>
    </w:rPr>
  </w:style>
  <w:style w:type="character" w:styleId="UnresolvedMention">
    <w:name w:val="Unresolved Mention"/>
    <w:basedOn w:val="DefaultParagraphFont"/>
    <w:uiPriority w:val="99"/>
    <w:semiHidden/>
    <w:unhideWhenUsed/>
    <w:rsid w:val="00D3773C"/>
    <w:rPr>
      <w:color w:val="605E5C"/>
      <w:shd w:val="clear" w:color="auto" w:fill="E1DFDD"/>
    </w:rPr>
  </w:style>
  <w:style w:type="paragraph" w:styleId="Revision">
    <w:name w:val="Revision"/>
    <w:hidden/>
    <w:uiPriority w:val="99"/>
    <w:semiHidden/>
    <w:rsid w:val="00903BA6"/>
    <w:pPr>
      <w:spacing w:after="0" w:line="240" w:lineRule="auto"/>
    </w:pPr>
  </w:style>
  <w:style w:type="character" w:styleId="FollowedHyperlink">
    <w:name w:val="FollowedHyperlink"/>
    <w:basedOn w:val="DefaultParagraphFont"/>
    <w:uiPriority w:val="99"/>
    <w:semiHidden/>
    <w:unhideWhenUsed/>
    <w:rsid w:val="00961FB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64324">
      <w:bodyDiv w:val="1"/>
      <w:marLeft w:val="0"/>
      <w:marRight w:val="0"/>
      <w:marTop w:val="0"/>
      <w:marBottom w:val="0"/>
      <w:divBdr>
        <w:top w:val="none" w:sz="0" w:space="0" w:color="auto"/>
        <w:left w:val="none" w:sz="0" w:space="0" w:color="auto"/>
        <w:bottom w:val="none" w:sz="0" w:space="0" w:color="auto"/>
        <w:right w:val="none" w:sz="0" w:space="0" w:color="auto"/>
      </w:divBdr>
    </w:div>
    <w:div w:id="399711736">
      <w:bodyDiv w:val="1"/>
      <w:marLeft w:val="0"/>
      <w:marRight w:val="0"/>
      <w:marTop w:val="0"/>
      <w:marBottom w:val="0"/>
      <w:divBdr>
        <w:top w:val="none" w:sz="0" w:space="0" w:color="auto"/>
        <w:left w:val="none" w:sz="0" w:space="0" w:color="auto"/>
        <w:bottom w:val="none" w:sz="0" w:space="0" w:color="auto"/>
        <w:right w:val="none" w:sz="0" w:space="0" w:color="auto"/>
      </w:divBdr>
    </w:div>
    <w:div w:id="151218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home.treasury.gov/system/files/136/SLFRF-Final-Rule-FAQ.pdf" TargetMode="External"/><Relationship Id="rId18" Type="http://schemas.openxmlformats.org/officeDocument/2006/relationships/hyperlink" Target="https://home.treasury.gov/system/files/136/SLFRF-Final-Rule-Overview.pdf" TargetMode="External"/><Relationship Id="rId3" Type="http://schemas.openxmlformats.org/officeDocument/2006/relationships/customXml" Target="../customXml/item3.xml"/><Relationship Id="rId21" Type="http://schemas.openxmlformats.org/officeDocument/2006/relationships/hyperlink" Target="https://home.treasury.gov/policy-issues/coronavirus/assistance-for-state-local-and-tribal-governments/state-and-local-fiscal-recovery-funds" TargetMode="External"/><Relationship Id="rId7" Type="http://schemas.openxmlformats.org/officeDocument/2006/relationships/settings" Target="settings.xml"/><Relationship Id="rId12" Type="http://schemas.openxmlformats.org/officeDocument/2006/relationships/hyperlink" Target="https://www2.ed.gov/documents/coronavirus/arp-staff-shortages.pdf" TargetMode="External"/><Relationship Id="rId17" Type="http://schemas.openxmlformats.org/officeDocument/2006/relationships/hyperlink" Target="https://home.treasury.gov/system/files/136/SLFRF-Final-Rule-Overview.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home.treasury.gov/system/files/136/SLFRF-Final-Rule-Overview.pdf" TargetMode="External"/><Relationship Id="rId20" Type="http://schemas.openxmlformats.org/officeDocument/2006/relationships/hyperlink" Target="https://home.treasury.gov/system/files/136/SLFRF-Final-Rule-FAQ.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2.ed.gov/documents/coronavirus/arp-teacher-shortages.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home.treasury.gov/system/files/136/SLFRF-Final-Rule-FAQ.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govinfo.gov/content/pkg/FR-2022-01-27/pdf/2022-00292.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ome.treasury.gov/system/files/136/SLFRF-Final-Rule-Overview.pdf" TargetMode="External"/><Relationship Id="rId22" Type="http://schemas.openxmlformats.org/officeDocument/2006/relationships/hyperlink" Target="mailto:SLFRF@treasury.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43BF85F0FAC0B4CAEB8832AAADC7C8B" ma:contentTypeVersion="2" ma:contentTypeDescription="Create a new document." ma:contentTypeScope="" ma:versionID="1ade5719e253dbef0fb044808d3c332d">
  <xsd:schema xmlns:xsd="http://www.w3.org/2001/XMLSchema" xmlns:xs="http://www.w3.org/2001/XMLSchema" xmlns:p="http://schemas.microsoft.com/office/2006/metadata/properties" xmlns:ns2="550c07f5-19ad-4946-bcbe-ebfa258a0ae0" targetNamespace="http://schemas.microsoft.com/office/2006/metadata/properties" ma:root="true" ma:fieldsID="3b0513b88a960aa20a8b291c75651cdb" ns2:_="">
    <xsd:import namespace="550c07f5-19ad-4946-bcbe-ebfa258a0ae0"/>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0c07f5-19ad-4946-bcbe-ebfa258a0ae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550c07f5-19ad-4946-bcbe-ebfa258a0ae0">
      <UserInfo>
        <DisplayName>Karlin-Neumann, Zev M. EOP/WHO</DisplayName>
        <AccountId>1601</AccountId>
        <AccountType/>
      </UserInfo>
      <UserInfo>
        <DisplayName>Tracey-Mooney, Maureen EOP/WHO</DisplayName>
        <AccountId>246</AccountId>
        <AccountType/>
      </UserInfo>
      <UserInfo>
        <DisplayName>Gupta, Pronita EOP/WHO</DisplayName>
        <AccountId>487</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2DBA18-4929-4A12-8D90-EB8D58E1E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0c07f5-19ad-4946-bcbe-ebfa258a0a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F3AA00-711B-45FC-9EEC-0E9AF1895339}">
  <ds:schemaRefs>
    <ds:schemaRef ds:uri="http://schemas.openxmlformats.org/officeDocument/2006/bibliography"/>
  </ds:schemaRefs>
</ds:datastoreItem>
</file>

<file path=customXml/itemProps3.xml><?xml version="1.0" encoding="utf-8"?>
<ds:datastoreItem xmlns:ds="http://schemas.openxmlformats.org/officeDocument/2006/customXml" ds:itemID="{4E05B2D6-4AE6-4D4A-8B13-A727E450D3F1}">
  <ds:schemaRefs>
    <ds:schemaRef ds:uri="http://schemas.microsoft.com/office/2006/metadata/properties"/>
    <ds:schemaRef ds:uri="http://schemas.microsoft.com/office/infopath/2007/PartnerControls"/>
    <ds:schemaRef ds:uri="550c07f5-19ad-4946-bcbe-ebfa258a0ae0"/>
  </ds:schemaRefs>
</ds:datastoreItem>
</file>

<file path=customXml/itemProps4.xml><?xml version="1.0" encoding="utf-8"?>
<ds:datastoreItem xmlns:ds="http://schemas.openxmlformats.org/officeDocument/2006/customXml" ds:itemID="{629FB927-833C-4378-BA91-07894F4031B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2330</Words>
  <Characters>13287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White House Communications Agency</Company>
  <LinksUpToDate>false</LinksUpToDate>
  <CharactersWithSpaces>15586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Theodore T. EOP/OMB</dc:creator>
  <cp:keywords/>
  <dc:description/>
  <cp:lastModifiedBy>Lee, Theodore T. EOP/OMB</cp:lastModifiedBy>
  <cp:revision>3</cp:revision>
  <dcterms:created xsi:type="dcterms:W3CDTF">2022-06-30T22:04:00Z</dcterms:created>
  <dcterms:modified xsi:type="dcterms:W3CDTF">2022-06-30T22:08:00Z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0x010100143BF85F0FAC0B4CAEB8832AAADC7C8B</vt:lpwstr>
  </property>
</Properties>
</file>